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5903C" w14:textId="77777777" w:rsidR="00DB15E9" w:rsidRDefault="00DB15E9">
      <w:pPr>
        <w:jc w:val="center"/>
        <w:rPr>
          <w:rFonts w:ascii="Times New Roman" w:hAnsi="Times New Roman"/>
          <w:sz w:val="72"/>
        </w:rPr>
      </w:pPr>
    </w:p>
    <w:p w14:paraId="0C2B3008" w14:textId="77777777" w:rsidR="00DB15E9" w:rsidRDefault="00DB15E9">
      <w:pPr>
        <w:jc w:val="center"/>
        <w:rPr>
          <w:rFonts w:ascii="Times New Roman" w:hAnsi="Times New Roman"/>
          <w:sz w:val="72"/>
        </w:rPr>
      </w:pPr>
    </w:p>
    <w:p w14:paraId="6FDE5B79" w14:textId="77777777" w:rsidR="00DB15E9" w:rsidRDefault="0078312E">
      <w:pPr>
        <w:jc w:val="center"/>
        <w:rPr>
          <w:rFonts w:ascii="Times New Roman" w:hAnsi="Times New Roman"/>
          <w:sz w:val="72"/>
        </w:rPr>
      </w:pPr>
      <w:r>
        <w:rPr>
          <w:rFonts w:ascii="Times New Roman" w:hAnsi="Times New Roman"/>
          <w:sz w:val="40"/>
        </w:rPr>
        <w:t>Common Instrument Interface Project</w:t>
      </w:r>
    </w:p>
    <w:p w14:paraId="4068367B" w14:textId="77777777" w:rsidR="00DB15E9" w:rsidRDefault="00DB15E9">
      <w:pPr>
        <w:rPr>
          <w:rFonts w:ascii="Times New Roman" w:hAnsi="Times New Roman"/>
          <w:sz w:val="72"/>
        </w:rPr>
      </w:pPr>
    </w:p>
    <w:p w14:paraId="78FEDA88" w14:textId="77777777" w:rsidR="00DB15E9" w:rsidRDefault="0078312E">
      <w:pPr>
        <w:jc w:val="center"/>
        <w:rPr>
          <w:rFonts w:ascii="Times New Roman" w:hAnsi="Times New Roman"/>
          <w:sz w:val="72"/>
        </w:rPr>
      </w:pPr>
      <w:r>
        <w:rPr>
          <w:rFonts w:ascii="Times New Roman" w:hAnsi="Times New Roman"/>
          <w:sz w:val="72"/>
        </w:rPr>
        <w:t>Hosted Payload Interface Guide for Proposers</w:t>
      </w:r>
    </w:p>
    <w:p w14:paraId="6412890B" w14:textId="77777777" w:rsidR="00DB15E9" w:rsidRDefault="00DB15E9">
      <w:pPr>
        <w:jc w:val="center"/>
        <w:rPr>
          <w:rFonts w:ascii="Times New Roman" w:hAnsi="Times New Roman"/>
          <w:sz w:val="48"/>
        </w:rPr>
      </w:pPr>
    </w:p>
    <w:p w14:paraId="36204BBB" w14:textId="77777777" w:rsidR="00DB15E9" w:rsidRDefault="00DB15E9">
      <w:pPr>
        <w:jc w:val="center"/>
        <w:rPr>
          <w:rFonts w:ascii="Times New Roman" w:hAnsi="Times New Roman"/>
          <w:sz w:val="48"/>
        </w:rPr>
      </w:pPr>
    </w:p>
    <w:p w14:paraId="10060B85" w14:textId="77777777" w:rsidR="00DB15E9" w:rsidRDefault="0078312E">
      <w:pPr>
        <w:jc w:val="center"/>
        <w:rPr>
          <w:rFonts w:ascii="Times New Roman" w:hAnsi="Times New Roman"/>
          <w:sz w:val="22"/>
        </w:rPr>
      </w:pPr>
      <w:r>
        <w:rPr>
          <w:rFonts w:ascii="Times New Roman" w:hAnsi="Times New Roman"/>
          <w:sz w:val="48"/>
        </w:rPr>
        <w:fldChar w:fldCharType="begin"/>
      </w:r>
      <w:r>
        <w:rPr>
          <w:rFonts w:ascii="Times New Roman" w:hAnsi="Times New Roman"/>
          <w:sz w:val="48"/>
        </w:rPr>
        <w:instrText xml:space="preserve"> DATE \@ "MMMM d, yyyy" </w:instrText>
      </w:r>
      <w:r>
        <w:rPr>
          <w:rFonts w:ascii="Times New Roman" w:hAnsi="Times New Roman"/>
          <w:sz w:val="48"/>
        </w:rPr>
        <w:fldChar w:fldCharType="separate"/>
      </w:r>
      <w:r w:rsidR="00BE147E">
        <w:rPr>
          <w:rFonts w:ascii="Times New Roman" w:hAnsi="Times New Roman"/>
          <w:noProof/>
          <w:sz w:val="48"/>
        </w:rPr>
        <w:t>January 24, 2017</w:t>
      </w:r>
      <w:r>
        <w:rPr>
          <w:rFonts w:ascii="Times New Roman" w:hAnsi="Times New Roman"/>
          <w:sz w:val="48"/>
        </w:rPr>
        <w:fldChar w:fldCharType="end"/>
      </w:r>
    </w:p>
    <w:p w14:paraId="52F4A4D6" w14:textId="77777777" w:rsidR="00DB15E9" w:rsidRDefault="00DB15E9">
      <w:pPr>
        <w:rPr>
          <w:rFonts w:ascii="Times New Roman" w:hAnsi="Times New Roman"/>
        </w:rPr>
      </w:pPr>
    </w:p>
    <w:p w14:paraId="0E649670" w14:textId="77777777" w:rsidR="00DB15E9" w:rsidRDefault="00DB15E9">
      <w:pPr>
        <w:rPr>
          <w:rFonts w:ascii="Times New Roman" w:hAnsi="Times New Roman"/>
        </w:rPr>
      </w:pPr>
    </w:p>
    <w:p w14:paraId="43EC015B" w14:textId="77777777" w:rsidR="00DB15E9" w:rsidRDefault="0078312E">
      <w:pPr>
        <w:rPr>
          <w:rFonts w:ascii="Times New Roman" w:hAnsi="Times New Roman"/>
        </w:rPr>
      </w:pPr>
      <w:r>
        <w:rPr>
          <w:rFonts w:ascii="Times New Roman" w:hAnsi="Times New Roman"/>
        </w:rPr>
        <w:tab/>
      </w:r>
      <w:r>
        <w:rPr>
          <w:rFonts w:ascii="Times New Roman" w:hAnsi="Times New Roman"/>
        </w:rPr>
        <w:tab/>
      </w:r>
    </w:p>
    <w:p w14:paraId="4FFCE284" w14:textId="77777777" w:rsidR="00DB15E9" w:rsidRDefault="00DB15E9">
      <w:pPr>
        <w:rPr>
          <w:rFonts w:asciiTheme="minorHAnsi" w:hAnsiTheme="minorHAnsi" w:cstheme="minorBidi"/>
        </w:rPr>
      </w:pPr>
    </w:p>
    <w:p w14:paraId="338AAF5B" w14:textId="77777777" w:rsidR="00DB15E9" w:rsidRDefault="00DB15E9">
      <w:pPr>
        <w:jc w:val="center"/>
        <w:rPr>
          <w:rFonts w:ascii="Times New Roman" w:hAnsi="Times New Roman"/>
          <w:sz w:val="40"/>
        </w:rPr>
      </w:pPr>
    </w:p>
    <w:p w14:paraId="6A7601E2" w14:textId="77777777" w:rsidR="00DB15E9" w:rsidRDefault="00DB15E9">
      <w:pPr>
        <w:tabs>
          <w:tab w:val="clear" w:pos="1440"/>
          <w:tab w:val="clear" w:pos="4140"/>
          <w:tab w:val="clear" w:pos="7920"/>
          <w:tab w:val="left" w:pos="6120"/>
        </w:tabs>
        <w:spacing w:after="0"/>
        <w:rPr>
          <w:rFonts w:ascii="Times New Roman" w:hAnsi="Times New Roman"/>
          <w:b/>
        </w:rPr>
      </w:pPr>
    </w:p>
    <w:p w14:paraId="4C333469" w14:textId="77777777" w:rsidR="00DB15E9" w:rsidRDefault="00DB15E9">
      <w:pPr>
        <w:tabs>
          <w:tab w:val="clear" w:pos="1440"/>
          <w:tab w:val="clear" w:pos="4140"/>
          <w:tab w:val="clear" w:pos="7920"/>
          <w:tab w:val="left" w:pos="6120"/>
        </w:tabs>
        <w:spacing w:after="0"/>
        <w:rPr>
          <w:rFonts w:ascii="Times New Roman" w:hAnsi="Times New Roman"/>
          <w:b/>
        </w:rPr>
      </w:pPr>
    </w:p>
    <w:p w14:paraId="636E7CE7" w14:textId="77777777" w:rsidR="00DB15E9" w:rsidRDefault="00DB15E9">
      <w:pPr>
        <w:tabs>
          <w:tab w:val="clear" w:pos="1440"/>
          <w:tab w:val="clear" w:pos="4140"/>
          <w:tab w:val="clear" w:pos="7920"/>
          <w:tab w:val="left" w:pos="6120"/>
        </w:tabs>
        <w:spacing w:after="0"/>
        <w:rPr>
          <w:rFonts w:ascii="Times New Roman" w:hAnsi="Times New Roman"/>
          <w:b/>
        </w:rPr>
      </w:pPr>
    </w:p>
    <w:p w14:paraId="20BAA52D" w14:textId="77777777" w:rsidR="00DB15E9" w:rsidRDefault="00DB15E9">
      <w:pPr>
        <w:tabs>
          <w:tab w:val="clear" w:pos="1440"/>
          <w:tab w:val="clear" w:pos="4140"/>
          <w:tab w:val="clear" w:pos="7920"/>
          <w:tab w:val="left" w:pos="6120"/>
        </w:tabs>
        <w:spacing w:after="0"/>
        <w:rPr>
          <w:rFonts w:ascii="Times New Roman" w:hAnsi="Times New Roman"/>
          <w:b/>
        </w:rPr>
      </w:pPr>
    </w:p>
    <w:p w14:paraId="335F8178" w14:textId="77777777" w:rsidR="00DB15E9" w:rsidRDefault="0078312E">
      <w:pPr>
        <w:tabs>
          <w:tab w:val="clear" w:pos="1440"/>
          <w:tab w:val="clear" w:pos="4140"/>
          <w:tab w:val="clear" w:pos="7920"/>
        </w:tabs>
        <w:spacing w:after="0"/>
        <w:rPr>
          <w:rFonts w:ascii="Times New Roman" w:hAnsi="Times New Roman"/>
          <w:b/>
        </w:rPr>
      </w:pPr>
      <w:r>
        <w:rPr>
          <w:rFonts w:ascii="Times New Roman" w:hAnsi="Times New Roman"/>
          <w:b/>
        </w:rPr>
        <w:br w:type="page"/>
      </w:r>
    </w:p>
    <w:p w14:paraId="71F6B56D" w14:textId="77777777" w:rsidR="00DB15E9" w:rsidRDefault="00DB15E9">
      <w:pPr>
        <w:tabs>
          <w:tab w:val="clear" w:pos="1440"/>
          <w:tab w:val="clear" w:pos="4140"/>
          <w:tab w:val="clear" w:pos="7920"/>
          <w:tab w:val="left" w:pos="6120"/>
        </w:tabs>
        <w:spacing w:after="0"/>
        <w:rPr>
          <w:rFonts w:ascii="Times New Roman" w:hAnsi="Times New Roman"/>
          <w:b/>
          <w:sz w:val="32"/>
          <w:szCs w:val="32"/>
        </w:rPr>
      </w:pPr>
    </w:p>
    <w:p w14:paraId="209B18D3" w14:textId="77777777" w:rsidR="00DB15E9" w:rsidRDefault="0078312E">
      <w:pPr>
        <w:tabs>
          <w:tab w:val="clear" w:pos="1440"/>
          <w:tab w:val="clear" w:pos="4140"/>
          <w:tab w:val="clear" w:pos="7920"/>
          <w:tab w:val="left" w:pos="6120"/>
        </w:tabs>
        <w:spacing w:after="0"/>
        <w:rPr>
          <w:rFonts w:ascii="Times New Roman" w:hAnsi="Times New Roman"/>
          <w:b/>
        </w:rPr>
      </w:pPr>
      <w:r>
        <w:rPr>
          <w:rFonts w:ascii="Times New Roman" w:hAnsi="Times New Roman"/>
          <w:b/>
        </w:rPr>
        <w:t>Submitted By:</w:t>
      </w:r>
    </w:p>
    <w:p w14:paraId="791424CD"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14D4B7A0"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3F951F03"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___________________________</w:t>
      </w:r>
    </w:p>
    <w:p w14:paraId="56D37E2B"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Nikzad Toomarian</w:t>
      </w:r>
    </w:p>
    <w:p w14:paraId="0A9C2DC9"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JPL/CII Project</w:t>
      </w:r>
    </w:p>
    <w:p w14:paraId="24953CA8"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0C44BB32"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43CE2F8D"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___________________________</w:t>
      </w:r>
    </w:p>
    <w:p w14:paraId="58030B83"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 xml:space="preserve">Lowell E. Primm </w:t>
      </w:r>
    </w:p>
    <w:p w14:paraId="07DD91E3"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GSFC/CII Project</w:t>
      </w:r>
    </w:p>
    <w:p w14:paraId="5A325727"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58465B04"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1E1E9F38"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___________________________</w:t>
      </w:r>
      <w:r>
        <w:rPr>
          <w:rFonts w:asciiTheme="minorHAnsi" w:hAnsiTheme="minorHAnsi" w:cstheme="minorHAnsi"/>
          <w:szCs w:val="24"/>
        </w:rPr>
        <w:tab/>
        <w:t>___________________________</w:t>
      </w:r>
    </w:p>
    <w:p w14:paraId="17CED700"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C. Randy Regan</w:t>
      </w:r>
      <w:r>
        <w:rPr>
          <w:rFonts w:asciiTheme="minorHAnsi" w:hAnsiTheme="minorHAnsi" w:cstheme="minorHAnsi"/>
          <w:szCs w:val="24"/>
        </w:rPr>
        <w:tab/>
        <w:t>Date</w:t>
      </w:r>
    </w:p>
    <w:p w14:paraId="751AE28E"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CII Project Manager</w:t>
      </w:r>
    </w:p>
    <w:p w14:paraId="23724D56"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NASA ESSP Chief Engineer</w:t>
      </w:r>
    </w:p>
    <w:p w14:paraId="730D9782"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6B7A4A10"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4D78411F" w14:textId="77777777" w:rsidR="00DB15E9" w:rsidRDefault="0078312E">
      <w:pPr>
        <w:tabs>
          <w:tab w:val="clear" w:pos="1440"/>
          <w:tab w:val="clear" w:pos="4140"/>
          <w:tab w:val="clear" w:pos="7920"/>
          <w:tab w:val="left" w:pos="6120"/>
        </w:tabs>
        <w:spacing w:after="0"/>
        <w:rPr>
          <w:rFonts w:asciiTheme="minorHAnsi" w:hAnsiTheme="minorHAnsi" w:cstheme="minorHAnsi"/>
          <w:b/>
          <w:szCs w:val="24"/>
        </w:rPr>
      </w:pPr>
      <w:r>
        <w:rPr>
          <w:rFonts w:asciiTheme="minorHAnsi" w:hAnsiTheme="minorHAnsi" w:cstheme="minorHAnsi"/>
          <w:b/>
          <w:szCs w:val="24"/>
        </w:rPr>
        <w:t>Approved By:</w:t>
      </w:r>
    </w:p>
    <w:p w14:paraId="19671F1A"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2420DDF2"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1BEF5AEB"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___________________________</w:t>
      </w:r>
      <w:r>
        <w:rPr>
          <w:rFonts w:asciiTheme="minorHAnsi" w:hAnsiTheme="minorHAnsi" w:cstheme="minorHAnsi"/>
          <w:szCs w:val="24"/>
        </w:rPr>
        <w:tab/>
        <w:t>___________________________</w:t>
      </w:r>
    </w:p>
    <w:p w14:paraId="487FA038"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63325CAF"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1E1A8556"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7A79ECF6" w14:textId="77777777" w:rsidR="00DB15E9" w:rsidRDefault="00DB15E9">
      <w:pPr>
        <w:tabs>
          <w:tab w:val="clear" w:pos="1440"/>
          <w:tab w:val="clear" w:pos="4140"/>
          <w:tab w:val="clear" w:pos="7920"/>
          <w:tab w:val="left" w:pos="6120"/>
        </w:tabs>
        <w:spacing w:after="0"/>
        <w:rPr>
          <w:rFonts w:asciiTheme="minorHAnsi" w:hAnsiTheme="minorHAnsi" w:cstheme="minorHAnsi"/>
          <w:szCs w:val="24"/>
        </w:rPr>
      </w:pPr>
    </w:p>
    <w:p w14:paraId="32848677" w14:textId="77777777" w:rsidR="00DB15E9" w:rsidRDefault="0078312E">
      <w:pPr>
        <w:tabs>
          <w:tab w:val="clear" w:pos="1440"/>
          <w:tab w:val="clear" w:pos="4140"/>
          <w:tab w:val="clear" w:pos="7920"/>
          <w:tab w:val="left" w:pos="3420"/>
          <w:tab w:val="left" w:pos="6120"/>
        </w:tabs>
        <w:spacing w:after="0"/>
        <w:rPr>
          <w:rFonts w:asciiTheme="minorHAnsi" w:hAnsiTheme="minorHAnsi" w:cstheme="minorHAnsi"/>
          <w:szCs w:val="24"/>
        </w:rPr>
      </w:pPr>
      <w:r>
        <w:rPr>
          <w:rFonts w:asciiTheme="minorHAnsi" w:hAnsiTheme="minorHAnsi" w:cstheme="minorHAnsi"/>
          <w:szCs w:val="24"/>
        </w:rPr>
        <w:t>___________________________</w:t>
      </w:r>
      <w:r>
        <w:rPr>
          <w:rFonts w:asciiTheme="minorHAnsi" w:hAnsiTheme="minorHAnsi" w:cstheme="minorHAnsi"/>
          <w:szCs w:val="24"/>
        </w:rPr>
        <w:tab/>
      </w:r>
      <w:r>
        <w:rPr>
          <w:rFonts w:asciiTheme="minorHAnsi" w:hAnsiTheme="minorHAnsi" w:cstheme="minorHAnsi"/>
          <w:szCs w:val="24"/>
        </w:rPr>
        <w:tab/>
        <w:t>___________________________</w:t>
      </w:r>
    </w:p>
    <w:p w14:paraId="212748B1"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Gregory Stover</w:t>
      </w:r>
      <w:r>
        <w:rPr>
          <w:rFonts w:asciiTheme="minorHAnsi" w:hAnsiTheme="minorHAnsi" w:cstheme="minorHAnsi"/>
          <w:szCs w:val="24"/>
        </w:rPr>
        <w:tab/>
        <w:t>Date</w:t>
      </w:r>
    </w:p>
    <w:p w14:paraId="7B1C7062" w14:textId="77777777" w:rsidR="00DB15E9" w:rsidRDefault="0078312E">
      <w:pPr>
        <w:tabs>
          <w:tab w:val="clear" w:pos="1440"/>
          <w:tab w:val="clear" w:pos="4140"/>
          <w:tab w:val="clear" w:pos="7920"/>
          <w:tab w:val="left" w:pos="6120"/>
        </w:tabs>
        <w:spacing w:after="0"/>
        <w:rPr>
          <w:rFonts w:asciiTheme="minorHAnsi" w:hAnsiTheme="minorHAnsi" w:cstheme="minorHAnsi"/>
          <w:szCs w:val="24"/>
        </w:rPr>
      </w:pPr>
      <w:r>
        <w:rPr>
          <w:rFonts w:asciiTheme="minorHAnsi" w:hAnsiTheme="minorHAnsi" w:cstheme="minorHAnsi"/>
          <w:szCs w:val="24"/>
        </w:rPr>
        <w:t>NASA ESSP PO Program Director</w:t>
      </w:r>
    </w:p>
    <w:p w14:paraId="0D1067C0" w14:textId="77777777" w:rsidR="00DB15E9" w:rsidRDefault="00DB15E9">
      <w:pPr>
        <w:tabs>
          <w:tab w:val="clear" w:pos="1440"/>
          <w:tab w:val="clear" w:pos="4140"/>
          <w:tab w:val="clear" w:pos="7920"/>
        </w:tabs>
        <w:spacing w:after="0"/>
        <w:rPr>
          <w:rFonts w:ascii="Times New Roman" w:hAnsi="Times New Roman"/>
        </w:rPr>
      </w:pPr>
    </w:p>
    <w:p w14:paraId="4968E5E0" w14:textId="77777777" w:rsidR="00DB15E9" w:rsidRDefault="0078312E">
      <w:pPr>
        <w:tabs>
          <w:tab w:val="clear" w:pos="1440"/>
          <w:tab w:val="clear" w:pos="4140"/>
          <w:tab w:val="clear" w:pos="7920"/>
        </w:tabs>
        <w:spacing w:after="0"/>
        <w:rPr>
          <w:rStyle w:val="Strong"/>
          <w:rFonts w:ascii="Helvetica" w:hAnsi="Helvetica"/>
          <w:b w:val="0"/>
          <w:bCs w:val="0"/>
          <w:sz w:val="22"/>
          <w:szCs w:val="20"/>
        </w:rPr>
      </w:pPr>
      <w:bookmarkStart w:id="0" w:name="_Toc268548679"/>
      <w:bookmarkStart w:id="1" w:name="_Toc268548877"/>
      <w:bookmarkStart w:id="2" w:name="_Toc268548897"/>
      <w:r>
        <w:rPr>
          <w:rStyle w:val="Strong"/>
        </w:rPr>
        <w:br w:type="page"/>
      </w:r>
    </w:p>
    <w:p w14:paraId="584793E5" w14:textId="77777777" w:rsidR="00DB15E9" w:rsidRDefault="0078312E">
      <w:pPr>
        <w:pStyle w:val="ESSPTableCaption"/>
        <w:rPr>
          <w:rStyle w:val="Strong"/>
        </w:rPr>
      </w:pPr>
      <w:r>
        <w:rPr>
          <w:rStyle w:val="Strong"/>
        </w:rPr>
        <w:lastRenderedPageBreak/>
        <w:t>Change Log</w:t>
      </w:r>
    </w:p>
    <w:tbl>
      <w:tblPr>
        <w:tblW w:w="9607" w:type="dxa"/>
        <w:tblInd w:w="-165" w:type="dxa"/>
        <w:tblLayout w:type="fixed"/>
        <w:tblLook w:val="0000" w:firstRow="0" w:lastRow="0" w:firstColumn="0" w:lastColumn="0" w:noHBand="0" w:noVBand="0"/>
      </w:tblPr>
      <w:tblGrid>
        <w:gridCol w:w="1620"/>
        <w:gridCol w:w="1800"/>
        <w:gridCol w:w="1440"/>
        <w:gridCol w:w="4747"/>
      </w:tblGrid>
      <w:tr w:rsidR="00DB15E9" w14:paraId="6E6AF54E" w14:textId="77777777">
        <w:tc>
          <w:tcPr>
            <w:tcW w:w="1620" w:type="dxa"/>
            <w:tcBorders>
              <w:top w:val="single" w:sz="6" w:space="0" w:color="auto"/>
              <w:left w:val="single" w:sz="6" w:space="0" w:color="auto"/>
              <w:bottom w:val="single" w:sz="4" w:space="0" w:color="auto"/>
              <w:right w:val="single" w:sz="6" w:space="0" w:color="auto"/>
            </w:tcBorders>
            <w:shd w:val="clear" w:color="auto" w:fill="000000" w:themeFill="text1"/>
            <w:vAlign w:val="bottom"/>
          </w:tcPr>
          <w:p w14:paraId="4D01AA02" w14:textId="77777777" w:rsidR="00DB15E9" w:rsidRDefault="0078312E">
            <w:pPr>
              <w:spacing w:after="0"/>
              <w:jc w:val="center"/>
              <w:rPr>
                <w:rFonts w:ascii="Helvetica" w:hAnsi="Helvetica" w:cs="Arial"/>
                <w:b/>
                <w:color w:val="FFFFFF" w:themeColor="background1"/>
              </w:rPr>
            </w:pPr>
            <w:r>
              <w:rPr>
                <w:rFonts w:ascii="Helvetica" w:hAnsi="Helvetica" w:cs="Arial"/>
                <w:b/>
                <w:color w:val="FFFFFF" w:themeColor="background1"/>
              </w:rPr>
              <w:t>Version</w:t>
            </w:r>
          </w:p>
        </w:tc>
        <w:tc>
          <w:tcPr>
            <w:tcW w:w="1800" w:type="dxa"/>
            <w:tcBorders>
              <w:top w:val="single" w:sz="6" w:space="0" w:color="auto"/>
              <w:left w:val="nil"/>
              <w:bottom w:val="single" w:sz="4" w:space="0" w:color="auto"/>
              <w:right w:val="single" w:sz="6" w:space="0" w:color="auto"/>
            </w:tcBorders>
            <w:shd w:val="clear" w:color="auto" w:fill="000000" w:themeFill="text1"/>
            <w:vAlign w:val="bottom"/>
          </w:tcPr>
          <w:p w14:paraId="53E3E531" w14:textId="77777777" w:rsidR="00DB15E9" w:rsidRDefault="0078312E">
            <w:pPr>
              <w:spacing w:after="0"/>
              <w:jc w:val="center"/>
              <w:rPr>
                <w:rFonts w:ascii="Helvetica" w:hAnsi="Helvetica" w:cs="Arial"/>
                <w:b/>
                <w:color w:val="FFFFFF" w:themeColor="background1"/>
              </w:rPr>
            </w:pPr>
            <w:r>
              <w:rPr>
                <w:rFonts w:ascii="Helvetica" w:hAnsi="Helvetica" w:cs="Arial"/>
                <w:b/>
                <w:color w:val="FFFFFF" w:themeColor="background1"/>
              </w:rPr>
              <w:t>Date</w:t>
            </w:r>
          </w:p>
        </w:tc>
        <w:tc>
          <w:tcPr>
            <w:tcW w:w="1440" w:type="dxa"/>
            <w:tcBorders>
              <w:top w:val="single" w:sz="6" w:space="0" w:color="auto"/>
              <w:left w:val="nil"/>
              <w:bottom w:val="single" w:sz="4" w:space="0" w:color="auto"/>
              <w:right w:val="single" w:sz="6" w:space="0" w:color="auto"/>
            </w:tcBorders>
            <w:shd w:val="clear" w:color="auto" w:fill="000000" w:themeFill="text1"/>
            <w:vAlign w:val="bottom"/>
          </w:tcPr>
          <w:p w14:paraId="68DC7A2A" w14:textId="77777777" w:rsidR="00DB15E9" w:rsidRDefault="0078312E">
            <w:pPr>
              <w:spacing w:after="0"/>
              <w:jc w:val="center"/>
              <w:rPr>
                <w:rFonts w:ascii="Helvetica" w:hAnsi="Helvetica" w:cs="Arial"/>
                <w:b/>
                <w:color w:val="FFFFFF" w:themeColor="background1"/>
              </w:rPr>
            </w:pPr>
            <w:r>
              <w:rPr>
                <w:rFonts w:ascii="Helvetica" w:hAnsi="Helvetica" w:cs="Arial"/>
                <w:b/>
                <w:color w:val="FFFFFF" w:themeColor="background1"/>
              </w:rPr>
              <w:t>Section Affected</w:t>
            </w:r>
          </w:p>
        </w:tc>
        <w:tc>
          <w:tcPr>
            <w:tcW w:w="4747" w:type="dxa"/>
            <w:tcBorders>
              <w:top w:val="single" w:sz="6" w:space="0" w:color="auto"/>
              <w:left w:val="nil"/>
              <w:bottom w:val="single" w:sz="4" w:space="0" w:color="auto"/>
              <w:right w:val="single" w:sz="6" w:space="0" w:color="auto"/>
            </w:tcBorders>
            <w:shd w:val="clear" w:color="auto" w:fill="000000" w:themeFill="text1"/>
            <w:vAlign w:val="bottom"/>
          </w:tcPr>
          <w:p w14:paraId="6D4796A4" w14:textId="77777777" w:rsidR="00DB15E9" w:rsidRDefault="0078312E">
            <w:pPr>
              <w:spacing w:after="0"/>
              <w:jc w:val="center"/>
              <w:rPr>
                <w:rFonts w:cs="Arial"/>
                <w:b/>
                <w:color w:val="FFFFFF" w:themeColor="background1"/>
              </w:rPr>
            </w:pPr>
            <w:r>
              <w:rPr>
                <w:rFonts w:ascii="Helvetica" w:hAnsi="Helvetica" w:cs="Arial"/>
                <w:b/>
                <w:color w:val="FFFFFF" w:themeColor="background1"/>
              </w:rPr>
              <w:t>Description</w:t>
            </w:r>
          </w:p>
        </w:tc>
      </w:tr>
      <w:tr w:rsidR="00DB15E9" w14:paraId="279C2249" w14:textId="77777777">
        <w:tc>
          <w:tcPr>
            <w:tcW w:w="1620" w:type="dxa"/>
            <w:tcBorders>
              <w:top w:val="single" w:sz="4" w:space="0" w:color="auto"/>
              <w:left w:val="single" w:sz="4" w:space="0" w:color="auto"/>
              <w:bottom w:val="single" w:sz="4" w:space="0" w:color="auto"/>
              <w:right w:val="single" w:sz="4" w:space="0" w:color="auto"/>
            </w:tcBorders>
          </w:tcPr>
          <w:p w14:paraId="1851A88D" w14:textId="77777777" w:rsidR="00DB15E9" w:rsidRDefault="00DB15E9">
            <w:pPr>
              <w:spacing w:before="60" w:after="0"/>
              <w:jc w:val="center"/>
              <w:rPr>
                <w:rFonts w:ascii="Helvetica" w:hAnsi="Helvetica" w:cs="Arial"/>
              </w:rPr>
            </w:pPr>
          </w:p>
        </w:tc>
        <w:tc>
          <w:tcPr>
            <w:tcW w:w="1800" w:type="dxa"/>
            <w:tcBorders>
              <w:top w:val="single" w:sz="4" w:space="0" w:color="auto"/>
              <w:left w:val="single" w:sz="4" w:space="0" w:color="auto"/>
              <w:bottom w:val="single" w:sz="4" w:space="0" w:color="auto"/>
              <w:right w:val="single" w:sz="4" w:space="0" w:color="auto"/>
            </w:tcBorders>
          </w:tcPr>
          <w:p w14:paraId="0FBBDC67" w14:textId="77777777" w:rsidR="00DB15E9" w:rsidRDefault="00DB15E9">
            <w:pPr>
              <w:spacing w:before="60" w:after="0"/>
              <w:jc w:val="center"/>
              <w:rPr>
                <w:rFonts w:ascii="Helvetica" w:hAnsi="Helvetica" w:cs="Arial"/>
              </w:rPr>
            </w:pPr>
          </w:p>
        </w:tc>
        <w:tc>
          <w:tcPr>
            <w:tcW w:w="1440" w:type="dxa"/>
            <w:tcBorders>
              <w:top w:val="single" w:sz="4" w:space="0" w:color="auto"/>
              <w:left w:val="single" w:sz="4" w:space="0" w:color="auto"/>
              <w:bottom w:val="single" w:sz="4" w:space="0" w:color="auto"/>
              <w:right w:val="single" w:sz="4" w:space="0" w:color="auto"/>
            </w:tcBorders>
          </w:tcPr>
          <w:p w14:paraId="35031138" w14:textId="77777777" w:rsidR="00DB15E9" w:rsidRDefault="00DB15E9">
            <w:pPr>
              <w:spacing w:before="60" w:after="0"/>
              <w:jc w:val="center"/>
              <w:rPr>
                <w:rFonts w:ascii="Helvetica" w:hAnsi="Helvetica" w:cs="Arial"/>
              </w:rPr>
            </w:pPr>
          </w:p>
        </w:tc>
        <w:tc>
          <w:tcPr>
            <w:tcW w:w="4747" w:type="dxa"/>
            <w:tcBorders>
              <w:top w:val="single" w:sz="4" w:space="0" w:color="auto"/>
              <w:left w:val="single" w:sz="4" w:space="0" w:color="auto"/>
              <w:bottom w:val="single" w:sz="4" w:space="0" w:color="auto"/>
              <w:right w:val="single" w:sz="4" w:space="0" w:color="auto"/>
            </w:tcBorders>
          </w:tcPr>
          <w:p w14:paraId="51B854DA" w14:textId="77777777" w:rsidR="00DB15E9" w:rsidRDefault="00DB15E9">
            <w:pPr>
              <w:spacing w:before="60" w:after="0"/>
              <w:rPr>
                <w:rFonts w:cs="Arial"/>
              </w:rPr>
            </w:pPr>
          </w:p>
        </w:tc>
      </w:tr>
      <w:tr w:rsidR="00DB15E9" w14:paraId="5B2F01CE" w14:textId="77777777">
        <w:tc>
          <w:tcPr>
            <w:tcW w:w="1620" w:type="dxa"/>
            <w:tcBorders>
              <w:top w:val="single" w:sz="4" w:space="0" w:color="auto"/>
              <w:left w:val="single" w:sz="4" w:space="0" w:color="auto"/>
              <w:bottom w:val="single" w:sz="4" w:space="0" w:color="auto"/>
              <w:right w:val="single" w:sz="4" w:space="0" w:color="auto"/>
            </w:tcBorders>
          </w:tcPr>
          <w:p w14:paraId="2BDC245C" w14:textId="77777777" w:rsidR="00DB15E9" w:rsidRDefault="00DB15E9">
            <w:pPr>
              <w:spacing w:before="60" w:after="0"/>
              <w:jc w:val="center"/>
              <w:rPr>
                <w:rFonts w:ascii="Helvetica" w:hAnsi="Helvetica" w:cs="Arial"/>
              </w:rPr>
            </w:pPr>
          </w:p>
        </w:tc>
        <w:tc>
          <w:tcPr>
            <w:tcW w:w="1800" w:type="dxa"/>
            <w:tcBorders>
              <w:top w:val="single" w:sz="4" w:space="0" w:color="auto"/>
              <w:left w:val="single" w:sz="4" w:space="0" w:color="auto"/>
              <w:bottom w:val="single" w:sz="4" w:space="0" w:color="auto"/>
              <w:right w:val="single" w:sz="4" w:space="0" w:color="auto"/>
            </w:tcBorders>
          </w:tcPr>
          <w:p w14:paraId="376BAF18" w14:textId="77777777" w:rsidR="00DB15E9" w:rsidRDefault="00DB15E9">
            <w:pPr>
              <w:spacing w:before="60" w:after="0"/>
              <w:jc w:val="center"/>
              <w:rPr>
                <w:rFonts w:ascii="Helvetica" w:hAnsi="Helvetica" w:cs="Arial"/>
              </w:rPr>
            </w:pPr>
          </w:p>
        </w:tc>
        <w:tc>
          <w:tcPr>
            <w:tcW w:w="1440" w:type="dxa"/>
            <w:tcBorders>
              <w:top w:val="single" w:sz="4" w:space="0" w:color="auto"/>
              <w:left w:val="single" w:sz="4" w:space="0" w:color="auto"/>
              <w:bottom w:val="single" w:sz="4" w:space="0" w:color="auto"/>
              <w:right w:val="single" w:sz="4" w:space="0" w:color="auto"/>
            </w:tcBorders>
          </w:tcPr>
          <w:p w14:paraId="3929051C" w14:textId="77777777" w:rsidR="00DB15E9" w:rsidRDefault="00DB15E9">
            <w:pPr>
              <w:spacing w:before="60" w:after="0"/>
              <w:jc w:val="center"/>
              <w:rPr>
                <w:rFonts w:ascii="Helvetica" w:hAnsi="Helvetica" w:cs="Arial"/>
              </w:rPr>
            </w:pPr>
          </w:p>
        </w:tc>
        <w:tc>
          <w:tcPr>
            <w:tcW w:w="4747" w:type="dxa"/>
            <w:tcBorders>
              <w:top w:val="single" w:sz="4" w:space="0" w:color="auto"/>
              <w:left w:val="single" w:sz="4" w:space="0" w:color="auto"/>
              <w:bottom w:val="single" w:sz="4" w:space="0" w:color="auto"/>
              <w:right w:val="single" w:sz="4" w:space="0" w:color="auto"/>
            </w:tcBorders>
          </w:tcPr>
          <w:p w14:paraId="75B5D165" w14:textId="77777777" w:rsidR="00DB15E9" w:rsidRDefault="00DB15E9">
            <w:pPr>
              <w:spacing w:before="60" w:after="0"/>
              <w:rPr>
                <w:rFonts w:cs="Arial"/>
              </w:rPr>
            </w:pPr>
          </w:p>
        </w:tc>
      </w:tr>
      <w:tr w:rsidR="00DB15E9" w14:paraId="25C78CF8" w14:textId="77777777">
        <w:tc>
          <w:tcPr>
            <w:tcW w:w="1620" w:type="dxa"/>
            <w:tcBorders>
              <w:top w:val="single" w:sz="4" w:space="0" w:color="auto"/>
              <w:left w:val="single" w:sz="4" w:space="0" w:color="auto"/>
              <w:bottom w:val="single" w:sz="4" w:space="0" w:color="auto"/>
              <w:right w:val="single" w:sz="4" w:space="0" w:color="auto"/>
            </w:tcBorders>
          </w:tcPr>
          <w:p w14:paraId="35652E41" w14:textId="77777777" w:rsidR="00DB15E9" w:rsidRDefault="00DB15E9">
            <w:pPr>
              <w:spacing w:before="60" w:after="0"/>
              <w:jc w:val="center"/>
              <w:rPr>
                <w:rFonts w:ascii="Helvetica" w:hAnsi="Helvetica" w:cs="Arial"/>
              </w:rPr>
            </w:pPr>
          </w:p>
        </w:tc>
        <w:tc>
          <w:tcPr>
            <w:tcW w:w="1800" w:type="dxa"/>
            <w:tcBorders>
              <w:top w:val="single" w:sz="4" w:space="0" w:color="auto"/>
              <w:left w:val="single" w:sz="4" w:space="0" w:color="auto"/>
              <w:bottom w:val="single" w:sz="4" w:space="0" w:color="auto"/>
              <w:right w:val="single" w:sz="4" w:space="0" w:color="auto"/>
            </w:tcBorders>
          </w:tcPr>
          <w:p w14:paraId="05AC351B" w14:textId="77777777" w:rsidR="00DB15E9" w:rsidRDefault="00DB15E9">
            <w:pPr>
              <w:spacing w:before="60" w:after="0"/>
              <w:jc w:val="center"/>
              <w:rPr>
                <w:rFonts w:ascii="Helvetica" w:hAnsi="Helvetica" w:cs="Arial"/>
              </w:rPr>
            </w:pPr>
          </w:p>
        </w:tc>
        <w:tc>
          <w:tcPr>
            <w:tcW w:w="1440" w:type="dxa"/>
            <w:tcBorders>
              <w:top w:val="single" w:sz="4" w:space="0" w:color="auto"/>
              <w:left w:val="single" w:sz="4" w:space="0" w:color="auto"/>
              <w:bottom w:val="single" w:sz="4" w:space="0" w:color="auto"/>
              <w:right w:val="single" w:sz="4" w:space="0" w:color="auto"/>
            </w:tcBorders>
          </w:tcPr>
          <w:p w14:paraId="3A7DF6D8" w14:textId="77777777" w:rsidR="00DB15E9" w:rsidRDefault="00DB15E9">
            <w:pPr>
              <w:spacing w:before="60" w:after="0"/>
              <w:jc w:val="center"/>
              <w:rPr>
                <w:rFonts w:ascii="Helvetica" w:hAnsi="Helvetica" w:cs="Arial"/>
              </w:rPr>
            </w:pPr>
          </w:p>
        </w:tc>
        <w:tc>
          <w:tcPr>
            <w:tcW w:w="4747" w:type="dxa"/>
            <w:tcBorders>
              <w:top w:val="single" w:sz="4" w:space="0" w:color="auto"/>
              <w:left w:val="single" w:sz="4" w:space="0" w:color="auto"/>
              <w:bottom w:val="single" w:sz="4" w:space="0" w:color="auto"/>
              <w:right w:val="single" w:sz="4" w:space="0" w:color="auto"/>
            </w:tcBorders>
          </w:tcPr>
          <w:p w14:paraId="0D73927D" w14:textId="77777777" w:rsidR="00DB15E9" w:rsidRDefault="00DB15E9">
            <w:pPr>
              <w:spacing w:before="60" w:after="0"/>
              <w:rPr>
                <w:rFonts w:cs="Arial"/>
              </w:rPr>
            </w:pPr>
          </w:p>
        </w:tc>
      </w:tr>
      <w:tr w:rsidR="00DB15E9" w14:paraId="5A6C07F9" w14:textId="77777777">
        <w:tc>
          <w:tcPr>
            <w:tcW w:w="1620" w:type="dxa"/>
            <w:tcBorders>
              <w:top w:val="single" w:sz="4" w:space="0" w:color="auto"/>
              <w:left w:val="single" w:sz="4" w:space="0" w:color="auto"/>
              <w:bottom w:val="single" w:sz="4" w:space="0" w:color="auto"/>
              <w:right w:val="single" w:sz="4" w:space="0" w:color="auto"/>
            </w:tcBorders>
          </w:tcPr>
          <w:p w14:paraId="7377CB79" w14:textId="77777777" w:rsidR="00DB15E9" w:rsidRDefault="00DB15E9">
            <w:pPr>
              <w:spacing w:before="60" w:after="0"/>
              <w:jc w:val="center"/>
              <w:rPr>
                <w:rFonts w:cs="Arial"/>
              </w:rPr>
            </w:pPr>
          </w:p>
        </w:tc>
        <w:tc>
          <w:tcPr>
            <w:tcW w:w="1800" w:type="dxa"/>
            <w:tcBorders>
              <w:top w:val="single" w:sz="4" w:space="0" w:color="auto"/>
              <w:left w:val="single" w:sz="4" w:space="0" w:color="auto"/>
              <w:bottom w:val="single" w:sz="4" w:space="0" w:color="auto"/>
              <w:right w:val="single" w:sz="4" w:space="0" w:color="auto"/>
            </w:tcBorders>
          </w:tcPr>
          <w:p w14:paraId="55C5E8CD" w14:textId="77777777" w:rsidR="00DB15E9" w:rsidRDefault="00DB15E9">
            <w:pPr>
              <w:spacing w:before="60" w:after="0"/>
              <w:jc w:val="center"/>
              <w:rPr>
                <w:rFonts w:cs="Arial"/>
              </w:rPr>
            </w:pPr>
          </w:p>
        </w:tc>
        <w:tc>
          <w:tcPr>
            <w:tcW w:w="1440" w:type="dxa"/>
            <w:tcBorders>
              <w:top w:val="single" w:sz="4" w:space="0" w:color="auto"/>
              <w:left w:val="single" w:sz="4" w:space="0" w:color="auto"/>
              <w:bottom w:val="single" w:sz="4" w:space="0" w:color="auto"/>
              <w:right w:val="single" w:sz="4" w:space="0" w:color="auto"/>
            </w:tcBorders>
          </w:tcPr>
          <w:p w14:paraId="2480E674" w14:textId="77777777" w:rsidR="00DB15E9" w:rsidRDefault="00DB15E9">
            <w:pPr>
              <w:spacing w:before="60" w:after="0"/>
              <w:jc w:val="center"/>
              <w:rPr>
                <w:rFonts w:cs="Arial"/>
              </w:rPr>
            </w:pPr>
          </w:p>
        </w:tc>
        <w:tc>
          <w:tcPr>
            <w:tcW w:w="4747" w:type="dxa"/>
            <w:tcBorders>
              <w:top w:val="single" w:sz="4" w:space="0" w:color="auto"/>
              <w:left w:val="single" w:sz="4" w:space="0" w:color="auto"/>
              <w:bottom w:val="single" w:sz="4" w:space="0" w:color="auto"/>
              <w:right w:val="single" w:sz="4" w:space="0" w:color="auto"/>
            </w:tcBorders>
          </w:tcPr>
          <w:p w14:paraId="0015ABCA" w14:textId="77777777" w:rsidR="00DB15E9" w:rsidRDefault="00DB15E9">
            <w:pPr>
              <w:spacing w:before="60" w:after="0"/>
              <w:rPr>
                <w:rFonts w:cs="Arial"/>
              </w:rPr>
            </w:pPr>
          </w:p>
        </w:tc>
      </w:tr>
      <w:tr w:rsidR="00DB15E9" w14:paraId="5A53A24E" w14:textId="77777777">
        <w:tc>
          <w:tcPr>
            <w:tcW w:w="1620" w:type="dxa"/>
            <w:tcBorders>
              <w:top w:val="single" w:sz="4" w:space="0" w:color="auto"/>
              <w:left w:val="single" w:sz="4" w:space="0" w:color="auto"/>
              <w:bottom w:val="single" w:sz="4" w:space="0" w:color="auto"/>
              <w:right w:val="single" w:sz="4" w:space="0" w:color="auto"/>
            </w:tcBorders>
          </w:tcPr>
          <w:p w14:paraId="7D7AC002" w14:textId="77777777" w:rsidR="00DB15E9" w:rsidRDefault="00DB15E9">
            <w:pPr>
              <w:spacing w:before="60" w:after="0"/>
              <w:jc w:val="center"/>
              <w:rPr>
                <w:rFonts w:cs="Arial"/>
              </w:rPr>
            </w:pPr>
          </w:p>
        </w:tc>
        <w:tc>
          <w:tcPr>
            <w:tcW w:w="1800" w:type="dxa"/>
            <w:tcBorders>
              <w:top w:val="single" w:sz="4" w:space="0" w:color="auto"/>
              <w:left w:val="single" w:sz="4" w:space="0" w:color="auto"/>
              <w:bottom w:val="single" w:sz="4" w:space="0" w:color="auto"/>
              <w:right w:val="single" w:sz="4" w:space="0" w:color="auto"/>
            </w:tcBorders>
          </w:tcPr>
          <w:p w14:paraId="6925116C" w14:textId="77777777" w:rsidR="00DB15E9" w:rsidRDefault="00DB15E9">
            <w:pPr>
              <w:spacing w:before="60" w:after="0"/>
              <w:jc w:val="center"/>
              <w:rPr>
                <w:rFonts w:cs="Arial"/>
              </w:rPr>
            </w:pPr>
          </w:p>
        </w:tc>
        <w:tc>
          <w:tcPr>
            <w:tcW w:w="1440" w:type="dxa"/>
            <w:tcBorders>
              <w:top w:val="single" w:sz="4" w:space="0" w:color="auto"/>
              <w:left w:val="single" w:sz="4" w:space="0" w:color="auto"/>
              <w:bottom w:val="single" w:sz="4" w:space="0" w:color="auto"/>
              <w:right w:val="single" w:sz="4" w:space="0" w:color="auto"/>
            </w:tcBorders>
          </w:tcPr>
          <w:p w14:paraId="4E1A5073" w14:textId="77777777" w:rsidR="00DB15E9" w:rsidRDefault="00DB15E9">
            <w:pPr>
              <w:spacing w:before="60" w:after="0"/>
              <w:jc w:val="center"/>
              <w:rPr>
                <w:rFonts w:cs="Arial"/>
              </w:rPr>
            </w:pPr>
          </w:p>
        </w:tc>
        <w:tc>
          <w:tcPr>
            <w:tcW w:w="4747" w:type="dxa"/>
            <w:tcBorders>
              <w:top w:val="single" w:sz="4" w:space="0" w:color="auto"/>
              <w:left w:val="single" w:sz="4" w:space="0" w:color="auto"/>
              <w:bottom w:val="single" w:sz="4" w:space="0" w:color="auto"/>
              <w:right w:val="single" w:sz="4" w:space="0" w:color="auto"/>
            </w:tcBorders>
          </w:tcPr>
          <w:p w14:paraId="628D1B0D" w14:textId="77777777" w:rsidR="00DB15E9" w:rsidRDefault="00DB15E9">
            <w:pPr>
              <w:spacing w:before="60" w:after="0"/>
              <w:rPr>
                <w:rFonts w:cs="Arial"/>
              </w:rPr>
            </w:pPr>
          </w:p>
        </w:tc>
      </w:tr>
      <w:tr w:rsidR="00DB15E9" w14:paraId="22D43EE6" w14:textId="77777777">
        <w:tc>
          <w:tcPr>
            <w:tcW w:w="1620" w:type="dxa"/>
            <w:tcBorders>
              <w:top w:val="single" w:sz="4" w:space="0" w:color="auto"/>
              <w:left w:val="single" w:sz="4" w:space="0" w:color="auto"/>
              <w:bottom w:val="single" w:sz="4" w:space="0" w:color="auto"/>
              <w:right w:val="single" w:sz="4" w:space="0" w:color="auto"/>
            </w:tcBorders>
          </w:tcPr>
          <w:p w14:paraId="55866958" w14:textId="77777777" w:rsidR="00DB15E9" w:rsidRDefault="00DB15E9">
            <w:pPr>
              <w:spacing w:before="60" w:after="0"/>
              <w:jc w:val="center"/>
              <w:rPr>
                <w:rFonts w:cs="Arial"/>
                <w:highlight w:val="yellow"/>
              </w:rPr>
            </w:pPr>
          </w:p>
        </w:tc>
        <w:tc>
          <w:tcPr>
            <w:tcW w:w="1800" w:type="dxa"/>
            <w:tcBorders>
              <w:top w:val="single" w:sz="4" w:space="0" w:color="auto"/>
              <w:left w:val="single" w:sz="4" w:space="0" w:color="auto"/>
              <w:bottom w:val="single" w:sz="4" w:space="0" w:color="auto"/>
              <w:right w:val="single" w:sz="4" w:space="0" w:color="auto"/>
            </w:tcBorders>
          </w:tcPr>
          <w:p w14:paraId="20843B19" w14:textId="77777777" w:rsidR="00DB15E9" w:rsidRDefault="00DB15E9">
            <w:pPr>
              <w:spacing w:before="60" w:after="0"/>
              <w:jc w:val="center"/>
              <w:rPr>
                <w:rFonts w:cs="Arial"/>
                <w:highlight w:val="yellow"/>
              </w:rPr>
            </w:pPr>
          </w:p>
        </w:tc>
        <w:tc>
          <w:tcPr>
            <w:tcW w:w="1440" w:type="dxa"/>
            <w:tcBorders>
              <w:top w:val="single" w:sz="4" w:space="0" w:color="auto"/>
              <w:left w:val="single" w:sz="4" w:space="0" w:color="auto"/>
              <w:bottom w:val="single" w:sz="4" w:space="0" w:color="auto"/>
              <w:right w:val="single" w:sz="4" w:space="0" w:color="auto"/>
            </w:tcBorders>
          </w:tcPr>
          <w:p w14:paraId="0BDBF7AA" w14:textId="77777777" w:rsidR="00DB15E9" w:rsidRDefault="00DB15E9">
            <w:pPr>
              <w:spacing w:before="60" w:after="0"/>
              <w:jc w:val="center"/>
              <w:rPr>
                <w:rFonts w:cs="Arial"/>
                <w:highlight w:val="yellow"/>
              </w:rPr>
            </w:pPr>
          </w:p>
        </w:tc>
        <w:tc>
          <w:tcPr>
            <w:tcW w:w="4747" w:type="dxa"/>
            <w:tcBorders>
              <w:top w:val="single" w:sz="4" w:space="0" w:color="auto"/>
              <w:left w:val="single" w:sz="4" w:space="0" w:color="auto"/>
              <w:bottom w:val="single" w:sz="4" w:space="0" w:color="auto"/>
              <w:right w:val="single" w:sz="4" w:space="0" w:color="auto"/>
            </w:tcBorders>
          </w:tcPr>
          <w:p w14:paraId="10B8F679" w14:textId="77777777" w:rsidR="00DB15E9" w:rsidRDefault="00DB15E9">
            <w:pPr>
              <w:spacing w:before="60" w:after="0"/>
              <w:rPr>
                <w:rFonts w:cs="Arial"/>
                <w:highlight w:val="yellow"/>
              </w:rPr>
            </w:pPr>
          </w:p>
        </w:tc>
      </w:tr>
      <w:tr w:rsidR="00DB15E9" w14:paraId="5B251373" w14:textId="77777777">
        <w:tc>
          <w:tcPr>
            <w:tcW w:w="1620" w:type="dxa"/>
            <w:tcBorders>
              <w:top w:val="single" w:sz="4" w:space="0" w:color="auto"/>
              <w:left w:val="single" w:sz="4" w:space="0" w:color="auto"/>
              <w:bottom w:val="single" w:sz="4" w:space="0" w:color="auto"/>
              <w:right w:val="single" w:sz="4" w:space="0" w:color="auto"/>
            </w:tcBorders>
          </w:tcPr>
          <w:p w14:paraId="437DC736" w14:textId="77777777" w:rsidR="00DB15E9" w:rsidRDefault="00DB15E9">
            <w:pPr>
              <w:spacing w:before="60" w:after="0"/>
              <w:jc w:val="center"/>
              <w:rPr>
                <w:rFonts w:cs="Arial"/>
              </w:rPr>
            </w:pPr>
          </w:p>
        </w:tc>
        <w:tc>
          <w:tcPr>
            <w:tcW w:w="1800" w:type="dxa"/>
            <w:tcBorders>
              <w:top w:val="single" w:sz="4" w:space="0" w:color="auto"/>
              <w:left w:val="single" w:sz="4" w:space="0" w:color="auto"/>
              <w:bottom w:val="single" w:sz="4" w:space="0" w:color="auto"/>
              <w:right w:val="single" w:sz="4" w:space="0" w:color="auto"/>
            </w:tcBorders>
          </w:tcPr>
          <w:p w14:paraId="4B502B4C" w14:textId="77777777" w:rsidR="00DB15E9" w:rsidRDefault="00DB15E9">
            <w:pPr>
              <w:spacing w:before="60" w:after="0"/>
              <w:jc w:val="center"/>
              <w:rPr>
                <w:rFonts w:cs="Arial"/>
              </w:rPr>
            </w:pPr>
          </w:p>
        </w:tc>
        <w:tc>
          <w:tcPr>
            <w:tcW w:w="1440" w:type="dxa"/>
            <w:tcBorders>
              <w:top w:val="single" w:sz="4" w:space="0" w:color="auto"/>
              <w:left w:val="single" w:sz="4" w:space="0" w:color="auto"/>
              <w:bottom w:val="single" w:sz="4" w:space="0" w:color="auto"/>
              <w:right w:val="single" w:sz="4" w:space="0" w:color="auto"/>
            </w:tcBorders>
          </w:tcPr>
          <w:p w14:paraId="5D99E3CA" w14:textId="77777777" w:rsidR="00DB15E9" w:rsidRDefault="00DB15E9">
            <w:pPr>
              <w:spacing w:before="60" w:after="0"/>
              <w:jc w:val="center"/>
              <w:rPr>
                <w:rFonts w:ascii="Helvetica" w:hAnsi="Helvetica" w:cs="Arial"/>
              </w:rPr>
            </w:pPr>
          </w:p>
        </w:tc>
        <w:tc>
          <w:tcPr>
            <w:tcW w:w="4747" w:type="dxa"/>
            <w:tcBorders>
              <w:top w:val="single" w:sz="4" w:space="0" w:color="auto"/>
              <w:left w:val="single" w:sz="4" w:space="0" w:color="auto"/>
              <w:bottom w:val="single" w:sz="4" w:space="0" w:color="auto"/>
              <w:right w:val="single" w:sz="4" w:space="0" w:color="auto"/>
            </w:tcBorders>
          </w:tcPr>
          <w:p w14:paraId="73C4ACC6" w14:textId="77777777" w:rsidR="00DB15E9" w:rsidRDefault="00DB15E9">
            <w:pPr>
              <w:spacing w:before="60" w:after="0"/>
              <w:rPr>
                <w:rFonts w:ascii="Helvetica" w:hAnsi="Helvetica" w:cs="Arial"/>
              </w:rPr>
            </w:pPr>
          </w:p>
        </w:tc>
      </w:tr>
    </w:tbl>
    <w:p w14:paraId="386815CB" w14:textId="77777777" w:rsidR="00DB15E9" w:rsidRDefault="00DB15E9">
      <w:pPr>
        <w:rPr>
          <w:rFonts w:ascii="Helvetica" w:hAnsi="Helvetica"/>
        </w:rPr>
        <w:sectPr w:rsidR="00DB15E9">
          <w:headerReference w:type="even" r:id="rId8"/>
          <w:headerReference w:type="default" r:id="rId9"/>
          <w:headerReference w:type="first" r:id="rId10"/>
          <w:pgSz w:w="12240" w:h="15840" w:code="1"/>
          <w:pgMar w:top="1440" w:right="1440" w:bottom="1440" w:left="1440" w:header="720" w:footer="720" w:gutter="0"/>
          <w:pgNumType w:start="0"/>
          <w:cols w:space="720"/>
          <w:titlePg/>
          <w:docGrid w:linePitch="360"/>
        </w:sectPr>
      </w:pPr>
    </w:p>
    <w:p w14:paraId="0C18DF9F" w14:textId="77777777" w:rsidR="00DB15E9" w:rsidRDefault="0078312E">
      <w:pPr>
        <w:tabs>
          <w:tab w:val="clear" w:pos="1440"/>
          <w:tab w:val="clear" w:pos="4140"/>
          <w:tab w:val="clear" w:pos="7920"/>
        </w:tabs>
        <w:spacing w:before="120" w:after="0"/>
        <w:jc w:val="center"/>
        <w:rPr>
          <w:rFonts w:cs="Arial"/>
          <w:color w:val="000000"/>
          <w:sz w:val="22"/>
        </w:rPr>
      </w:pPr>
      <w:r>
        <w:rPr>
          <w:rFonts w:cs="Arial"/>
          <w:b/>
          <w:color w:val="000000"/>
          <w:sz w:val="22"/>
        </w:rPr>
        <w:lastRenderedPageBreak/>
        <w:t>Special Acknowledgement</w:t>
      </w:r>
    </w:p>
    <w:p w14:paraId="31478631" w14:textId="45666788" w:rsidR="00DB15E9" w:rsidRDefault="0078312E">
      <w:pPr>
        <w:tabs>
          <w:tab w:val="clear" w:pos="1440"/>
          <w:tab w:val="clear" w:pos="4140"/>
          <w:tab w:val="clear" w:pos="7920"/>
        </w:tabs>
        <w:spacing w:before="120" w:after="0"/>
        <w:rPr>
          <w:rFonts w:cs="Arial"/>
          <w:color w:val="000000"/>
          <w:sz w:val="22"/>
        </w:rPr>
      </w:pPr>
      <w:r>
        <w:rPr>
          <w:rFonts w:cs="Arial"/>
          <w:color w:val="000000"/>
          <w:sz w:val="22"/>
        </w:rPr>
        <w:t xml:space="preserve">The development of the Hosted Payloads Interface Guide (HPIG) is the direct result of a collaborative effort between the NASA Common Instrument Interface (CII) Project, the Earth System Science Pathfinder Program Office, the USAF Space and Missile Center’s Hosted Payload Office, and The Aerospace Corporation. </w:t>
      </w:r>
      <w:r w:rsidR="00A40E76" w:rsidRPr="00214733">
        <w:rPr>
          <w:sz w:val="22"/>
        </w:rPr>
        <w:t>The HPIG provides a prospective Instrument Developer with technical recommendations to assist them in de</w:t>
      </w:r>
      <w:r w:rsidR="00BE147E">
        <w:rPr>
          <w:sz w:val="22"/>
        </w:rPr>
        <w:t>veloping</w:t>
      </w:r>
      <w:r w:rsidR="00A40E76" w:rsidRPr="00214733">
        <w:rPr>
          <w:sz w:val="22"/>
        </w:rPr>
        <w:t xml:space="preserve"> an Instrument or Payload that may be flown as a hosted payload on commercial satellites flown in Low Earth Orbit (LEO), or Geostationary Earth Orbit (GEO).</w:t>
      </w:r>
      <w:r w:rsidRPr="00214733">
        <w:rPr>
          <w:rFonts w:cs="Arial"/>
          <w:color w:val="000000"/>
          <w:sz w:val="22"/>
        </w:rPr>
        <w:t xml:space="preserve"> The document is now in its second iteration, with several updates and improvements. </w:t>
      </w:r>
    </w:p>
    <w:p w14:paraId="1FF3DED1" w14:textId="77777777" w:rsidR="00DB15E9" w:rsidRDefault="0078312E">
      <w:pPr>
        <w:tabs>
          <w:tab w:val="clear" w:pos="1440"/>
          <w:tab w:val="clear" w:pos="4140"/>
          <w:tab w:val="clear" w:pos="7920"/>
        </w:tabs>
        <w:spacing w:before="120" w:after="0"/>
        <w:rPr>
          <w:rFonts w:cs="Arial"/>
          <w:color w:val="000000"/>
          <w:sz w:val="22"/>
        </w:rPr>
      </w:pPr>
      <w:r>
        <w:rPr>
          <w:rFonts w:cs="Arial"/>
          <w:color w:val="000000"/>
          <w:sz w:val="22"/>
        </w:rPr>
        <w:t xml:space="preserve">We wish to express a special thanks to our teammates within the USAF Space and Missile Center’s Hosted Payload Office, and The Aerospace Corporation. Their contributions have been remarkable, timely, and accurate. In addition, the members of the USAF Space and Missile Center’s Hosted Payload Office, and The Aerospace Corporation have gone above and beyond their tasks as defined by the Memorandum of Understanding. They have provided not only impeccable technical inputs to the development of the Hosted Payload Interface Guidelines, but have assisted in the establishment and conduct of workshops, and other special meetings and events. </w:t>
      </w:r>
    </w:p>
    <w:p w14:paraId="69B7C9AC" w14:textId="77777777" w:rsidR="00DB15E9" w:rsidRDefault="0078312E">
      <w:pPr>
        <w:tabs>
          <w:tab w:val="clear" w:pos="1440"/>
          <w:tab w:val="clear" w:pos="4140"/>
          <w:tab w:val="clear" w:pos="7920"/>
        </w:tabs>
        <w:spacing w:before="120" w:after="0"/>
        <w:rPr>
          <w:rFonts w:cs="Arial"/>
          <w:color w:val="000000"/>
          <w:sz w:val="22"/>
        </w:rPr>
      </w:pPr>
      <w:r>
        <w:rPr>
          <w:rFonts w:cs="Arial"/>
          <w:color w:val="000000"/>
          <w:sz w:val="22"/>
        </w:rPr>
        <w:t>Without the contributions of the USAF and the Aerospace Corporation, the development of this document would not have been possible!!</w:t>
      </w:r>
    </w:p>
    <w:p w14:paraId="4AC0ABD8" w14:textId="77777777" w:rsidR="00DB15E9" w:rsidRDefault="0078312E">
      <w:pPr>
        <w:tabs>
          <w:tab w:val="clear" w:pos="1440"/>
          <w:tab w:val="clear" w:pos="4140"/>
          <w:tab w:val="clear" w:pos="7920"/>
        </w:tabs>
        <w:spacing w:after="0"/>
        <w:rPr>
          <w:rFonts w:ascii="Times New Roman" w:hAnsi="Times New Roman"/>
          <w:b/>
          <w:iCs/>
          <w:sz w:val="28"/>
          <w:szCs w:val="24"/>
        </w:rPr>
      </w:pPr>
      <w:r>
        <w:br w:type="page"/>
      </w:r>
    </w:p>
    <w:p w14:paraId="5C8D4792" w14:textId="77777777" w:rsidR="00DB15E9" w:rsidRDefault="0078312E">
      <w:pPr>
        <w:pStyle w:val="Heading8"/>
        <w:numPr>
          <w:ilvl w:val="0"/>
          <w:numId w:val="0"/>
        </w:numPr>
      </w:pPr>
      <w:r>
        <w:lastRenderedPageBreak/>
        <w:t>Table of Contents</w:t>
      </w:r>
      <w:bookmarkEnd w:id="0"/>
      <w:bookmarkEnd w:id="1"/>
      <w:bookmarkEnd w:id="2"/>
    </w:p>
    <w:p w14:paraId="32FF9E88" w14:textId="77777777" w:rsidR="00DB15E9" w:rsidRDefault="0078312E">
      <w:pPr>
        <w:pStyle w:val="TOC1"/>
        <w:rPr>
          <w:rFonts w:asciiTheme="minorHAnsi" w:hAnsiTheme="minorHAnsi"/>
          <w:caps w:val="0"/>
          <w:sz w:val="22"/>
          <w:szCs w:val="22"/>
        </w:rPr>
      </w:pPr>
      <w:r>
        <w:rPr>
          <w:rFonts w:asciiTheme="majorHAnsi" w:hAnsiTheme="majorHAnsi" w:cstheme="majorHAnsi"/>
          <w:bCs/>
          <w:iCs/>
        </w:rPr>
        <w:fldChar w:fldCharType="begin"/>
      </w:r>
      <w:r>
        <w:rPr>
          <w:rFonts w:asciiTheme="majorHAnsi" w:hAnsiTheme="majorHAnsi" w:cstheme="majorHAnsi"/>
          <w:bCs/>
          <w:iCs/>
        </w:rPr>
        <w:instrText xml:space="preserve"> TOC \o "1-5" </w:instrText>
      </w:r>
      <w:r>
        <w:rPr>
          <w:rFonts w:asciiTheme="majorHAnsi" w:hAnsiTheme="majorHAnsi" w:cstheme="majorHAnsi"/>
          <w:bCs/>
          <w:iCs/>
        </w:rPr>
        <w:fldChar w:fldCharType="separate"/>
      </w:r>
      <w:r>
        <w:t>1</w:t>
      </w:r>
      <w:r>
        <w:rPr>
          <w:rFonts w:asciiTheme="minorHAnsi" w:hAnsiTheme="minorHAnsi"/>
          <w:caps w:val="0"/>
          <w:sz w:val="22"/>
          <w:szCs w:val="22"/>
        </w:rPr>
        <w:tab/>
      </w:r>
      <w:r>
        <w:t>Overview</w:t>
      </w:r>
      <w:r>
        <w:tab/>
      </w:r>
      <w:r>
        <w:fldChar w:fldCharType="begin"/>
      </w:r>
      <w:r>
        <w:instrText xml:space="preserve"> PAGEREF _Toc471910731 \h </w:instrText>
      </w:r>
      <w:r>
        <w:fldChar w:fldCharType="separate"/>
      </w:r>
      <w:r>
        <w:t>1</w:t>
      </w:r>
      <w:r>
        <w:fldChar w:fldCharType="end"/>
      </w:r>
    </w:p>
    <w:p w14:paraId="13718FDD" w14:textId="77777777" w:rsidR="00DB15E9" w:rsidRDefault="0078312E">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Introduction</w:t>
      </w:r>
      <w:r>
        <w:tab/>
      </w:r>
      <w:r>
        <w:fldChar w:fldCharType="begin"/>
      </w:r>
      <w:r>
        <w:instrText xml:space="preserve"> PAGEREF _Toc471910732 \h </w:instrText>
      </w:r>
      <w:r>
        <w:fldChar w:fldCharType="separate"/>
      </w:r>
      <w:r>
        <w:t>1</w:t>
      </w:r>
      <w:r>
        <w:fldChar w:fldCharType="end"/>
      </w:r>
    </w:p>
    <w:p w14:paraId="06A8DD91" w14:textId="77777777" w:rsidR="00DB15E9" w:rsidRDefault="0078312E">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What is a Hosted Payload and Other Definitions?</w:t>
      </w:r>
      <w:r>
        <w:tab/>
      </w:r>
      <w:r>
        <w:fldChar w:fldCharType="begin"/>
      </w:r>
      <w:r>
        <w:instrText xml:space="preserve"> PAGEREF _Toc471910733 \h </w:instrText>
      </w:r>
      <w:r>
        <w:fldChar w:fldCharType="separate"/>
      </w:r>
      <w:r>
        <w:t>1</w:t>
      </w:r>
      <w:r>
        <w:fldChar w:fldCharType="end"/>
      </w:r>
    </w:p>
    <w:p w14:paraId="1748B3B5" w14:textId="77777777" w:rsidR="00DB15E9" w:rsidRDefault="0078312E">
      <w:pPr>
        <w:pStyle w:val="TOC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How the Document Was Developed</w:t>
      </w:r>
      <w:r>
        <w:tab/>
      </w:r>
      <w:r>
        <w:fldChar w:fldCharType="begin"/>
      </w:r>
      <w:r>
        <w:instrText xml:space="preserve"> PAGEREF _Toc471910734 \h </w:instrText>
      </w:r>
      <w:r>
        <w:fldChar w:fldCharType="separate"/>
      </w:r>
      <w:r>
        <w:t>2</w:t>
      </w:r>
      <w:r>
        <w:fldChar w:fldCharType="end"/>
      </w:r>
    </w:p>
    <w:p w14:paraId="5B22EACA" w14:textId="77777777" w:rsidR="00DB15E9" w:rsidRDefault="0078312E">
      <w:pPr>
        <w:pStyle w:val="TOC2"/>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How to Use this Document</w:t>
      </w:r>
      <w:r>
        <w:tab/>
      </w:r>
      <w:r>
        <w:fldChar w:fldCharType="begin"/>
      </w:r>
      <w:r>
        <w:instrText xml:space="preserve"> PAGEREF _Toc471910735 \h </w:instrText>
      </w:r>
      <w:r>
        <w:fldChar w:fldCharType="separate"/>
      </w:r>
      <w:r>
        <w:t>2</w:t>
      </w:r>
      <w:r>
        <w:fldChar w:fldCharType="end"/>
      </w:r>
    </w:p>
    <w:p w14:paraId="65961E86" w14:textId="77777777" w:rsidR="00DB15E9" w:rsidRDefault="0078312E">
      <w:pPr>
        <w:pStyle w:val="TOC2"/>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Scope</w:t>
      </w:r>
      <w:r>
        <w:tab/>
      </w:r>
      <w:r>
        <w:fldChar w:fldCharType="begin"/>
      </w:r>
      <w:r>
        <w:instrText xml:space="preserve"> PAGEREF _Toc471910736 \h </w:instrText>
      </w:r>
      <w:r>
        <w:fldChar w:fldCharType="separate"/>
      </w:r>
      <w:r>
        <w:t>3</w:t>
      </w:r>
      <w:r>
        <w:fldChar w:fldCharType="end"/>
      </w:r>
    </w:p>
    <w:p w14:paraId="4B1DDE09" w14:textId="77777777" w:rsidR="00DB15E9" w:rsidRDefault="0078312E">
      <w:pPr>
        <w:pStyle w:val="TOC2"/>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Document Heritage</w:t>
      </w:r>
      <w:r>
        <w:tab/>
      </w:r>
      <w:r>
        <w:fldChar w:fldCharType="begin"/>
      </w:r>
      <w:r>
        <w:instrText xml:space="preserve"> PAGEREF _Toc471910737 \h </w:instrText>
      </w:r>
      <w:r>
        <w:fldChar w:fldCharType="separate"/>
      </w:r>
      <w:r>
        <w:t>5</w:t>
      </w:r>
      <w:r>
        <w:fldChar w:fldCharType="end"/>
      </w:r>
    </w:p>
    <w:p w14:paraId="53DBD390" w14:textId="77777777" w:rsidR="00DB15E9" w:rsidRDefault="0078312E">
      <w:pPr>
        <w:pStyle w:val="TOC2"/>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Interaction with Other Agencies Involved with Hosted Payloads</w:t>
      </w:r>
      <w:r>
        <w:tab/>
      </w:r>
      <w:r>
        <w:fldChar w:fldCharType="begin"/>
      </w:r>
      <w:r>
        <w:instrText xml:space="preserve"> PAGEREF _Toc471910738 \h </w:instrText>
      </w:r>
      <w:r>
        <w:fldChar w:fldCharType="separate"/>
      </w:r>
      <w:r>
        <w:t>5</w:t>
      </w:r>
      <w:r>
        <w:fldChar w:fldCharType="end"/>
      </w:r>
    </w:p>
    <w:p w14:paraId="3350226A" w14:textId="77777777" w:rsidR="00DB15E9" w:rsidRDefault="0078312E">
      <w:pPr>
        <w:pStyle w:val="TOC1"/>
        <w:rPr>
          <w:rFonts w:asciiTheme="minorHAnsi" w:hAnsiTheme="minorHAnsi"/>
          <w:caps w:val="0"/>
          <w:sz w:val="22"/>
          <w:szCs w:val="22"/>
        </w:rPr>
      </w:pPr>
      <w:r>
        <w:t>2</w:t>
      </w:r>
      <w:r>
        <w:rPr>
          <w:rFonts w:asciiTheme="minorHAnsi" w:hAnsiTheme="minorHAnsi"/>
          <w:caps w:val="0"/>
          <w:sz w:val="22"/>
          <w:szCs w:val="22"/>
        </w:rPr>
        <w:tab/>
      </w:r>
      <w:r>
        <w:t>Design Guidelines for LEO</w:t>
      </w:r>
      <w:r>
        <w:tab/>
      </w:r>
      <w:r>
        <w:fldChar w:fldCharType="begin"/>
      </w:r>
      <w:r>
        <w:instrText xml:space="preserve"> PAGEREF _Toc471910739 \h </w:instrText>
      </w:r>
      <w:r>
        <w:fldChar w:fldCharType="separate"/>
      </w:r>
      <w:r>
        <w:t>7</w:t>
      </w:r>
      <w:r>
        <w:fldChar w:fldCharType="end"/>
      </w:r>
    </w:p>
    <w:p w14:paraId="244513F3" w14:textId="77777777" w:rsidR="00DB15E9" w:rsidRDefault="0078312E">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Assumptions</w:t>
      </w:r>
      <w:r>
        <w:tab/>
      </w:r>
      <w:r>
        <w:fldChar w:fldCharType="begin"/>
      </w:r>
      <w:r>
        <w:instrText xml:space="preserve"> PAGEREF _Toc471910740 \h </w:instrText>
      </w:r>
      <w:r>
        <w:fldChar w:fldCharType="separate"/>
      </w:r>
      <w:r>
        <w:t>7</w:t>
      </w:r>
      <w:r>
        <w:fldChar w:fldCharType="end"/>
      </w:r>
    </w:p>
    <w:p w14:paraId="091B2A25" w14:textId="77777777" w:rsidR="00DB15E9" w:rsidRDefault="0078312E">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Hosted Payload Worldview</w:t>
      </w:r>
      <w:r>
        <w:tab/>
      </w:r>
      <w:r>
        <w:fldChar w:fldCharType="begin"/>
      </w:r>
      <w:r>
        <w:instrText xml:space="preserve"> PAGEREF _Toc471910741 \h </w:instrText>
      </w:r>
      <w:r>
        <w:fldChar w:fldCharType="separate"/>
      </w:r>
      <w:r>
        <w:t>7</w:t>
      </w:r>
      <w:r>
        <w:fldChar w:fldCharType="end"/>
      </w:r>
    </w:p>
    <w:p w14:paraId="722C9140" w14:textId="77777777" w:rsidR="00DB15E9" w:rsidRDefault="0078312E">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Mission Risk</w:t>
      </w:r>
      <w:r>
        <w:tab/>
      </w:r>
      <w:r>
        <w:fldChar w:fldCharType="begin"/>
      </w:r>
      <w:r>
        <w:instrText xml:space="preserve"> PAGEREF _Toc471910742 \h </w:instrText>
      </w:r>
      <w:r>
        <w:fldChar w:fldCharType="separate"/>
      </w:r>
      <w:r>
        <w:t>7</w:t>
      </w:r>
      <w:r>
        <w:fldChar w:fldCharType="end"/>
      </w:r>
    </w:p>
    <w:p w14:paraId="32CD2CDA" w14:textId="77777777" w:rsidR="00DB15E9" w:rsidRDefault="0078312E">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Instrument End of Life</w:t>
      </w:r>
      <w:r>
        <w:tab/>
      </w:r>
      <w:r>
        <w:fldChar w:fldCharType="begin"/>
      </w:r>
      <w:r>
        <w:instrText xml:space="preserve"> PAGEREF _Toc471910743 \h </w:instrText>
      </w:r>
      <w:r>
        <w:fldChar w:fldCharType="separate"/>
      </w:r>
      <w:r>
        <w:t>7</w:t>
      </w:r>
      <w:r>
        <w:fldChar w:fldCharType="end"/>
      </w:r>
    </w:p>
    <w:p w14:paraId="043E708E" w14:textId="77777777" w:rsidR="00DB15E9" w:rsidRDefault="0078312E">
      <w:pPr>
        <w:pStyle w:val="TOC2"/>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Prevention of Failure Back-Propagation</w:t>
      </w:r>
      <w:r>
        <w:tab/>
      </w:r>
      <w:r>
        <w:fldChar w:fldCharType="begin"/>
      </w:r>
      <w:r>
        <w:instrText xml:space="preserve"> PAGEREF _Toc471910744 \h </w:instrText>
      </w:r>
      <w:r>
        <w:fldChar w:fldCharType="separate"/>
      </w:r>
      <w:r>
        <w:t>8</w:t>
      </w:r>
      <w:r>
        <w:fldChar w:fldCharType="end"/>
      </w:r>
    </w:p>
    <w:p w14:paraId="6A70A464" w14:textId="77777777" w:rsidR="00DB15E9" w:rsidRDefault="0078312E">
      <w:pPr>
        <w:pStyle w:val="TOC2"/>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Data Guidelines</w:t>
      </w:r>
      <w:r>
        <w:tab/>
      </w:r>
      <w:r>
        <w:fldChar w:fldCharType="begin"/>
      </w:r>
      <w:r>
        <w:instrText xml:space="preserve"> PAGEREF _Toc471910745 \h </w:instrText>
      </w:r>
      <w:r>
        <w:fldChar w:fldCharType="separate"/>
      </w:r>
      <w:r>
        <w:t>8</w:t>
      </w:r>
      <w:r>
        <w:fldChar w:fldCharType="end"/>
      </w:r>
    </w:p>
    <w:p w14:paraId="7E5F81FE" w14:textId="77777777" w:rsidR="00DB15E9" w:rsidRDefault="0078312E">
      <w:pPr>
        <w:pStyle w:val="TOC3"/>
        <w:rPr>
          <w:rFonts w:asciiTheme="minorHAnsi" w:eastAsiaTheme="minorEastAsia" w:hAnsiTheme="minorHAnsi" w:cstheme="minorBidi"/>
          <w:noProof/>
          <w:sz w:val="22"/>
        </w:rPr>
      </w:pPr>
      <w:r>
        <w:rPr>
          <w:noProof/>
        </w:rPr>
        <w:t>2.6.1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_Toc471910746 \h </w:instrText>
      </w:r>
      <w:r>
        <w:rPr>
          <w:noProof/>
        </w:rPr>
      </w:r>
      <w:r>
        <w:rPr>
          <w:noProof/>
        </w:rPr>
        <w:fldChar w:fldCharType="separate"/>
      </w:r>
      <w:r>
        <w:rPr>
          <w:noProof/>
        </w:rPr>
        <w:t>8</w:t>
      </w:r>
      <w:r>
        <w:rPr>
          <w:noProof/>
        </w:rPr>
        <w:fldChar w:fldCharType="end"/>
      </w:r>
    </w:p>
    <w:p w14:paraId="310ADC2B" w14:textId="77777777" w:rsidR="00DB15E9" w:rsidRDefault="0078312E">
      <w:pPr>
        <w:pStyle w:val="TOC3"/>
        <w:rPr>
          <w:rFonts w:asciiTheme="minorHAnsi" w:eastAsiaTheme="minorEastAsia" w:hAnsiTheme="minorHAnsi" w:cstheme="minorBidi"/>
          <w:noProof/>
          <w:sz w:val="22"/>
        </w:rPr>
      </w:pPr>
      <w:r>
        <w:rPr>
          <w:noProof/>
        </w:rPr>
        <w:t>2.6.2</w:t>
      </w:r>
      <w:r>
        <w:rPr>
          <w:rFonts w:asciiTheme="minorHAnsi" w:eastAsiaTheme="minorEastAsia" w:hAnsiTheme="minorHAnsi" w:cstheme="minorBidi"/>
          <w:noProof/>
          <w:sz w:val="22"/>
        </w:rPr>
        <w:tab/>
      </w:r>
      <w:r>
        <w:rPr>
          <w:noProof/>
        </w:rPr>
        <w:t>Data Interface</w:t>
      </w:r>
      <w:r>
        <w:rPr>
          <w:noProof/>
        </w:rPr>
        <w:tab/>
      </w:r>
      <w:r>
        <w:rPr>
          <w:noProof/>
        </w:rPr>
        <w:fldChar w:fldCharType="begin"/>
      </w:r>
      <w:r>
        <w:rPr>
          <w:noProof/>
        </w:rPr>
        <w:instrText xml:space="preserve"> PAGEREF _Toc471910747 \h </w:instrText>
      </w:r>
      <w:r>
        <w:rPr>
          <w:noProof/>
        </w:rPr>
      </w:r>
      <w:r>
        <w:rPr>
          <w:noProof/>
        </w:rPr>
        <w:fldChar w:fldCharType="separate"/>
      </w:r>
      <w:r>
        <w:rPr>
          <w:noProof/>
        </w:rPr>
        <w:t>8</w:t>
      </w:r>
      <w:r>
        <w:rPr>
          <w:noProof/>
        </w:rPr>
        <w:fldChar w:fldCharType="end"/>
      </w:r>
    </w:p>
    <w:p w14:paraId="08AD30DF" w14:textId="77777777" w:rsidR="00DB15E9" w:rsidRDefault="0078312E">
      <w:pPr>
        <w:pStyle w:val="TOC3"/>
        <w:rPr>
          <w:rFonts w:asciiTheme="minorHAnsi" w:eastAsiaTheme="minorEastAsia" w:hAnsiTheme="minorHAnsi" w:cstheme="minorBidi"/>
          <w:noProof/>
          <w:sz w:val="22"/>
        </w:rPr>
      </w:pPr>
      <w:r>
        <w:rPr>
          <w:noProof/>
        </w:rPr>
        <w:t>2.6.3</w:t>
      </w:r>
      <w:r>
        <w:rPr>
          <w:rFonts w:asciiTheme="minorHAnsi" w:eastAsiaTheme="minorEastAsia" w:hAnsiTheme="minorHAnsi" w:cstheme="minorBidi"/>
          <w:noProof/>
          <w:sz w:val="22"/>
        </w:rPr>
        <w:tab/>
      </w:r>
      <w:r>
        <w:rPr>
          <w:noProof/>
        </w:rPr>
        <w:t>Data Accommodation</w:t>
      </w:r>
      <w:r>
        <w:rPr>
          <w:noProof/>
        </w:rPr>
        <w:tab/>
      </w:r>
      <w:r>
        <w:rPr>
          <w:noProof/>
        </w:rPr>
        <w:fldChar w:fldCharType="begin"/>
      </w:r>
      <w:r>
        <w:rPr>
          <w:noProof/>
        </w:rPr>
        <w:instrText xml:space="preserve"> PAGEREF _Toc471910748 \h </w:instrText>
      </w:r>
      <w:r>
        <w:rPr>
          <w:noProof/>
        </w:rPr>
      </w:r>
      <w:r>
        <w:rPr>
          <w:noProof/>
        </w:rPr>
        <w:fldChar w:fldCharType="separate"/>
      </w:r>
      <w:r>
        <w:rPr>
          <w:noProof/>
        </w:rPr>
        <w:t>8</w:t>
      </w:r>
      <w:r>
        <w:rPr>
          <w:noProof/>
        </w:rPr>
        <w:fldChar w:fldCharType="end"/>
      </w:r>
    </w:p>
    <w:p w14:paraId="773886EB" w14:textId="77777777" w:rsidR="00DB15E9" w:rsidRDefault="0078312E">
      <w:pPr>
        <w:pStyle w:val="TOC3"/>
        <w:rPr>
          <w:rFonts w:asciiTheme="minorHAnsi" w:eastAsiaTheme="minorEastAsia" w:hAnsiTheme="minorHAnsi" w:cstheme="minorBidi"/>
          <w:noProof/>
          <w:sz w:val="22"/>
        </w:rPr>
      </w:pPr>
      <w:r>
        <w:rPr>
          <w:noProof/>
        </w:rPr>
        <w:t>2.6.4</w:t>
      </w:r>
      <w:r>
        <w:rPr>
          <w:rFonts w:asciiTheme="minorHAnsi" w:eastAsiaTheme="minorEastAsia" w:hAnsiTheme="minorHAnsi" w:cstheme="minorBidi"/>
          <w:noProof/>
          <w:sz w:val="22"/>
        </w:rPr>
        <w:tab/>
      </w:r>
      <w:r>
        <w:rPr>
          <w:noProof/>
        </w:rPr>
        <w:t>Command Dictionary</w:t>
      </w:r>
      <w:r>
        <w:rPr>
          <w:noProof/>
        </w:rPr>
        <w:tab/>
      </w:r>
      <w:r>
        <w:rPr>
          <w:noProof/>
        </w:rPr>
        <w:fldChar w:fldCharType="begin"/>
      </w:r>
      <w:r>
        <w:rPr>
          <w:noProof/>
        </w:rPr>
        <w:instrText xml:space="preserve"> PAGEREF _Toc471910749 \h </w:instrText>
      </w:r>
      <w:r>
        <w:rPr>
          <w:noProof/>
        </w:rPr>
      </w:r>
      <w:r>
        <w:rPr>
          <w:noProof/>
        </w:rPr>
        <w:fldChar w:fldCharType="separate"/>
      </w:r>
      <w:r>
        <w:rPr>
          <w:noProof/>
        </w:rPr>
        <w:t>8</w:t>
      </w:r>
      <w:r>
        <w:rPr>
          <w:noProof/>
        </w:rPr>
        <w:fldChar w:fldCharType="end"/>
      </w:r>
    </w:p>
    <w:p w14:paraId="4E9CD025" w14:textId="77777777" w:rsidR="00DB15E9" w:rsidRDefault="0078312E">
      <w:pPr>
        <w:pStyle w:val="TOC3"/>
        <w:rPr>
          <w:rFonts w:asciiTheme="minorHAnsi" w:eastAsiaTheme="minorEastAsia" w:hAnsiTheme="minorHAnsi" w:cstheme="minorBidi"/>
          <w:noProof/>
          <w:sz w:val="22"/>
        </w:rPr>
      </w:pPr>
      <w:r>
        <w:rPr>
          <w:noProof/>
        </w:rPr>
        <w:t>2.6.5</w:t>
      </w:r>
      <w:r>
        <w:rPr>
          <w:rFonts w:asciiTheme="minorHAnsi" w:eastAsiaTheme="minorEastAsia" w:hAnsiTheme="minorHAnsi" w:cstheme="minorBidi"/>
          <w:noProof/>
          <w:sz w:val="22"/>
        </w:rPr>
        <w:tab/>
      </w:r>
      <w:r>
        <w:rPr>
          <w:noProof/>
        </w:rPr>
        <w:t>Telemetry Dictionary</w:t>
      </w:r>
      <w:r>
        <w:rPr>
          <w:noProof/>
        </w:rPr>
        <w:tab/>
      </w:r>
      <w:r>
        <w:rPr>
          <w:noProof/>
        </w:rPr>
        <w:fldChar w:fldCharType="begin"/>
      </w:r>
      <w:r>
        <w:rPr>
          <w:noProof/>
        </w:rPr>
        <w:instrText xml:space="preserve"> PAGEREF _Toc471910750 \h </w:instrText>
      </w:r>
      <w:r>
        <w:rPr>
          <w:noProof/>
        </w:rPr>
      </w:r>
      <w:r>
        <w:rPr>
          <w:noProof/>
        </w:rPr>
        <w:fldChar w:fldCharType="separate"/>
      </w:r>
      <w:r>
        <w:rPr>
          <w:noProof/>
        </w:rPr>
        <w:t>9</w:t>
      </w:r>
      <w:r>
        <w:rPr>
          <w:noProof/>
        </w:rPr>
        <w:fldChar w:fldCharType="end"/>
      </w:r>
    </w:p>
    <w:p w14:paraId="70E9EF22" w14:textId="77777777" w:rsidR="00DB15E9" w:rsidRDefault="0078312E">
      <w:pPr>
        <w:pStyle w:val="TOC3"/>
        <w:rPr>
          <w:rFonts w:asciiTheme="minorHAnsi" w:eastAsiaTheme="minorEastAsia" w:hAnsiTheme="minorHAnsi" w:cstheme="minorBidi"/>
          <w:noProof/>
          <w:sz w:val="22"/>
        </w:rPr>
      </w:pPr>
      <w:r>
        <w:rPr>
          <w:noProof/>
        </w:rPr>
        <w:t>2.6.6</w:t>
      </w:r>
      <w:r>
        <w:rPr>
          <w:rFonts w:asciiTheme="minorHAnsi" w:eastAsiaTheme="minorEastAsia" w:hAnsiTheme="minorHAnsi" w:cstheme="minorBidi"/>
          <w:noProof/>
          <w:sz w:val="22"/>
        </w:rPr>
        <w:tab/>
      </w:r>
      <w:r>
        <w:rPr>
          <w:noProof/>
        </w:rPr>
        <w:t>Safe mode</w:t>
      </w:r>
      <w:r>
        <w:rPr>
          <w:noProof/>
        </w:rPr>
        <w:tab/>
      </w:r>
      <w:r>
        <w:rPr>
          <w:noProof/>
        </w:rPr>
        <w:fldChar w:fldCharType="begin"/>
      </w:r>
      <w:r>
        <w:rPr>
          <w:noProof/>
        </w:rPr>
        <w:instrText xml:space="preserve"> PAGEREF _Toc471910751 \h </w:instrText>
      </w:r>
      <w:r>
        <w:rPr>
          <w:noProof/>
        </w:rPr>
      </w:r>
      <w:r>
        <w:rPr>
          <w:noProof/>
        </w:rPr>
        <w:fldChar w:fldCharType="separate"/>
      </w:r>
      <w:r>
        <w:rPr>
          <w:noProof/>
        </w:rPr>
        <w:t>9</w:t>
      </w:r>
      <w:r>
        <w:rPr>
          <w:noProof/>
        </w:rPr>
        <w:fldChar w:fldCharType="end"/>
      </w:r>
    </w:p>
    <w:p w14:paraId="5987E76E" w14:textId="77777777" w:rsidR="00DB15E9" w:rsidRDefault="0078312E">
      <w:pPr>
        <w:pStyle w:val="TOC3"/>
        <w:rPr>
          <w:rFonts w:asciiTheme="minorHAnsi" w:eastAsiaTheme="minorEastAsia" w:hAnsiTheme="minorHAnsi" w:cstheme="minorBidi"/>
          <w:noProof/>
          <w:sz w:val="22"/>
        </w:rPr>
      </w:pPr>
      <w:r>
        <w:rPr>
          <w:noProof/>
        </w:rPr>
        <w:t>2.6.7</w:t>
      </w:r>
      <w:r>
        <w:rPr>
          <w:rFonts w:asciiTheme="minorHAnsi" w:eastAsiaTheme="minorEastAsia" w:hAnsiTheme="minorHAnsi" w:cstheme="minorBidi"/>
          <w:noProof/>
          <w:sz w:val="22"/>
        </w:rPr>
        <w:tab/>
      </w:r>
      <w:r>
        <w:rPr>
          <w:noProof/>
        </w:rPr>
        <w:t>Command (SAFE mode)</w:t>
      </w:r>
      <w:r>
        <w:rPr>
          <w:noProof/>
        </w:rPr>
        <w:tab/>
      </w:r>
      <w:r>
        <w:rPr>
          <w:noProof/>
        </w:rPr>
        <w:fldChar w:fldCharType="begin"/>
      </w:r>
      <w:r>
        <w:rPr>
          <w:noProof/>
        </w:rPr>
        <w:instrText xml:space="preserve"> PAGEREF _Toc471910752 \h </w:instrText>
      </w:r>
      <w:r>
        <w:rPr>
          <w:noProof/>
        </w:rPr>
      </w:r>
      <w:r>
        <w:rPr>
          <w:noProof/>
        </w:rPr>
        <w:fldChar w:fldCharType="separate"/>
      </w:r>
      <w:r>
        <w:rPr>
          <w:noProof/>
        </w:rPr>
        <w:t>9</w:t>
      </w:r>
      <w:r>
        <w:rPr>
          <w:noProof/>
        </w:rPr>
        <w:fldChar w:fldCharType="end"/>
      </w:r>
    </w:p>
    <w:p w14:paraId="4DC65F5F" w14:textId="77777777" w:rsidR="00DB15E9" w:rsidRDefault="0078312E">
      <w:pPr>
        <w:pStyle w:val="TOC3"/>
        <w:rPr>
          <w:rFonts w:asciiTheme="minorHAnsi" w:eastAsiaTheme="minorEastAsia" w:hAnsiTheme="minorHAnsi" w:cstheme="minorBidi"/>
          <w:noProof/>
          <w:sz w:val="22"/>
        </w:rPr>
      </w:pPr>
      <w:r>
        <w:rPr>
          <w:noProof/>
        </w:rPr>
        <w:t>2.6.8</w:t>
      </w:r>
      <w:r>
        <w:rPr>
          <w:rFonts w:asciiTheme="minorHAnsi" w:eastAsiaTheme="minorEastAsia" w:hAnsiTheme="minorHAnsi" w:cstheme="minorBidi"/>
          <w:noProof/>
          <w:sz w:val="22"/>
        </w:rPr>
        <w:tab/>
      </w:r>
      <w:r>
        <w:rPr>
          <w:noProof/>
        </w:rPr>
        <w:t>Command (Data Flow Control)</w:t>
      </w:r>
      <w:r>
        <w:rPr>
          <w:noProof/>
        </w:rPr>
        <w:tab/>
      </w:r>
      <w:r>
        <w:rPr>
          <w:noProof/>
        </w:rPr>
        <w:fldChar w:fldCharType="begin"/>
      </w:r>
      <w:r>
        <w:rPr>
          <w:noProof/>
        </w:rPr>
        <w:instrText xml:space="preserve"> PAGEREF _Toc471910753 \h </w:instrText>
      </w:r>
      <w:r>
        <w:rPr>
          <w:noProof/>
        </w:rPr>
      </w:r>
      <w:r>
        <w:rPr>
          <w:noProof/>
        </w:rPr>
        <w:fldChar w:fldCharType="separate"/>
      </w:r>
      <w:r>
        <w:rPr>
          <w:noProof/>
        </w:rPr>
        <w:t>9</w:t>
      </w:r>
      <w:r>
        <w:rPr>
          <w:noProof/>
        </w:rPr>
        <w:fldChar w:fldCharType="end"/>
      </w:r>
    </w:p>
    <w:p w14:paraId="4E459561" w14:textId="77777777" w:rsidR="00DB15E9" w:rsidRDefault="0078312E">
      <w:pPr>
        <w:pStyle w:val="TOC3"/>
        <w:rPr>
          <w:rFonts w:asciiTheme="minorHAnsi" w:eastAsiaTheme="minorEastAsia" w:hAnsiTheme="minorHAnsi" w:cstheme="minorBidi"/>
          <w:noProof/>
          <w:sz w:val="22"/>
        </w:rPr>
      </w:pPr>
      <w:r>
        <w:rPr>
          <w:noProof/>
        </w:rPr>
        <w:t>2.6.9</w:t>
      </w:r>
      <w:r>
        <w:rPr>
          <w:rFonts w:asciiTheme="minorHAnsi" w:eastAsiaTheme="minorEastAsia" w:hAnsiTheme="minorHAnsi" w:cstheme="minorBidi"/>
          <w:noProof/>
          <w:sz w:val="22"/>
        </w:rPr>
        <w:tab/>
      </w:r>
      <w:r>
        <w:rPr>
          <w:noProof/>
        </w:rPr>
        <w:t>Command (Acknowledgement)</w:t>
      </w:r>
      <w:r>
        <w:rPr>
          <w:noProof/>
        </w:rPr>
        <w:tab/>
      </w:r>
      <w:r>
        <w:rPr>
          <w:noProof/>
        </w:rPr>
        <w:fldChar w:fldCharType="begin"/>
      </w:r>
      <w:r>
        <w:rPr>
          <w:noProof/>
        </w:rPr>
        <w:instrText xml:space="preserve"> PAGEREF _Toc471910754 \h </w:instrText>
      </w:r>
      <w:r>
        <w:rPr>
          <w:noProof/>
        </w:rPr>
      </w:r>
      <w:r>
        <w:rPr>
          <w:noProof/>
        </w:rPr>
        <w:fldChar w:fldCharType="separate"/>
      </w:r>
      <w:r>
        <w:rPr>
          <w:noProof/>
        </w:rPr>
        <w:t>9</w:t>
      </w:r>
      <w:r>
        <w:rPr>
          <w:noProof/>
        </w:rPr>
        <w:fldChar w:fldCharType="end"/>
      </w:r>
    </w:p>
    <w:p w14:paraId="5E808A38" w14:textId="77777777" w:rsidR="00DB15E9" w:rsidRDefault="0078312E">
      <w:pPr>
        <w:pStyle w:val="TOC3"/>
        <w:rPr>
          <w:rFonts w:asciiTheme="minorHAnsi" w:eastAsiaTheme="minorEastAsia" w:hAnsiTheme="minorHAnsi" w:cstheme="minorBidi"/>
          <w:noProof/>
          <w:sz w:val="22"/>
        </w:rPr>
      </w:pPr>
      <w:r>
        <w:rPr>
          <w:noProof/>
        </w:rPr>
        <w:t>2.6.10</w:t>
      </w:r>
      <w:r>
        <w:rPr>
          <w:rFonts w:asciiTheme="minorHAnsi" w:eastAsiaTheme="minorEastAsia" w:hAnsiTheme="minorHAnsi" w:cstheme="minorBidi"/>
          <w:noProof/>
          <w:sz w:val="22"/>
        </w:rPr>
        <w:tab/>
      </w:r>
      <w:r>
        <w:rPr>
          <w:noProof/>
        </w:rPr>
        <w:t>Onboard Science Data Storage</w:t>
      </w:r>
      <w:r>
        <w:rPr>
          <w:noProof/>
        </w:rPr>
        <w:tab/>
      </w:r>
      <w:r>
        <w:rPr>
          <w:noProof/>
        </w:rPr>
        <w:fldChar w:fldCharType="begin"/>
      </w:r>
      <w:r>
        <w:rPr>
          <w:noProof/>
        </w:rPr>
        <w:instrText xml:space="preserve"> PAGEREF _Toc471910755 \h </w:instrText>
      </w:r>
      <w:r>
        <w:rPr>
          <w:noProof/>
        </w:rPr>
      </w:r>
      <w:r>
        <w:rPr>
          <w:noProof/>
        </w:rPr>
        <w:fldChar w:fldCharType="separate"/>
      </w:r>
      <w:r>
        <w:rPr>
          <w:noProof/>
        </w:rPr>
        <w:t>10</w:t>
      </w:r>
      <w:r>
        <w:rPr>
          <w:noProof/>
        </w:rPr>
        <w:fldChar w:fldCharType="end"/>
      </w:r>
    </w:p>
    <w:p w14:paraId="04437A56" w14:textId="77777777" w:rsidR="00DB15E9" w:rsidRDefault="0078312E">
      <w:pPr>
        <w:pStyle w:val="TOC2"/>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Electrical Power System Guidelines</w:t>
      </w:r>
      <w:r>
        <w:tab/>
      </w:r>
      <w:r>
        <w:fldChar w:fldCharType="begin"/>
      </w:r>
      <w:r>
        <w:instrText xml:space="preserve"> PAGEREF _Toc471910756 \h </w:instrText>
      </w:r>
      <w:r>
        <w:fldChar w:fldCharType="separate"/>
      </w:r>
      <w:r>
        <w:t>10</w:t>
      </w:r>
      <w:r>
        <w:fldChar w:fldCharType="end"/>
      </w:r>
    </w:p>
    <w:p w14:paraId="2BB8EF9D" w14:textId="77777777" w:rsidR="00DB15E9" w:rsidRDefault="0078312E">
      <w:pPr>
        <w:pStyle w:val="TOC3"/>
        <w:rPr>
          <w:rFonts w:asciiTheme="minorHAnsi" w:eastAsiaTheme="minorEastAsia" w:hAnsiTheme="minorHAnsi" w:cstheme="minorBidi"/>
          <w:noProof/>
          <w:sz w:val="22"/>
        </w:rPr>
      </w:pPr>
      <w:r>
        <w:rPr>
          <w:noProof/>
        </w:rPr>
        <w:t>2.7.1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_Toc471910757 \h </w:instrText>
      </w:r>
      <w:r>
        <w:rPr>
          <w:noProof/>
        </w:rPr>
      </w:r>
      <w:r>
        <w:rPr>
          <w:noProof/>
        </w:rPr>
        <w:fldChar w:fldCharType="separate"/>
      </w:r>
      <w:r>
        <w:rPr>
          <w:noProof/>
        </w:rPr>
        <w:t>10</w:t>
      </w:r>
      <w:r>
        <w:rPr>
          <w:noProof/>
        </w:rPr>
        <w:fldChar w:fldCharType="end"/>
      </w:r>
    </w:p>
    <w:p w14:paraId="70CD209D" w14:textId="77777777" w:rsidR="00DB15E9" w:rsidRDefault="0078312E">
      <w:pPr>
        <w:pStyle w:val="TOC3"/>
        <w:rPr>
          <w:rFonts w:asciiTheme="minorHAnsi" w:eastAsiaTheme="minorEastAsia" w:hAnsiTheme="minorHAnsi" w:cstheme="minorBidi"/>
          <w:noProof/>
          <w:sz w:val="22"/>
        </w:rPr>
      </w:pPr>
      <w:r>
        <w:rPr>
          <w:noProof/>
        </w:rPr>
        <w:t>2.7.2</w:t>
      </w:r>
      <w:r>
        <w:rPr>
          <w:rFonts w:asciiTheme="minorHAnsi" w:eastAsiaTheme="minorEastAsia" w:hAnsiTheme="minorHAnsi" w:cstheme="minorBidi"/>
          <w:noProof/>
          <w:sz w:val="22"/>
        </w:rPr>
        <w:tab/>
      </w:r>
      <w:r>
        <w:rPr>
          <w:noProof/>
        </w:rPr>
        <w:t>Grounding</w:t>
      </w:r>
      <w:r>
        <w:rPr>
          <w:noProof/>
        </w:rPr>
        <w:tab/>
      </w:r>
      <w:r>
        <w:rPr>
          <w:noProof/>
        </w:rPr>
        <w:fldChar w:fldCharType="begin"/>
      </w:r>
      <w:r>
        <w:rPr>
          <w:noProof/>
        </w:rPr>
        <w:instrText xml:space="preserve"> PAGEREF _Toc471910758 \h </w:instrText>
      </w:r>
      <w:r>
        <w:rPr>
          <w:noProof/>
        </w:rPr>
      </w:r>
      <w:r>
        <w:rPr>
          <w:noProof/>
        </w:rPr>
        <w:fldChar w:fldCharType="separate"/>
      </w:r>
      <w:r>
        <w:rPr>
          <w:noProof/>
        </w:rPr>
        <w:t>12</w:t>
      </w:r>
      <w:r>
        <w:rPr>
          <w:noProof/>
        </w:rPr>
        <w:fldChar w:fldCharType="end"/>
      </w:r>
    </w:p>
    <w:p w14:paraId="08692B4A" w14:textId="77777777" w:rsidR="00DB15E9" w:rsidRDefault="0078312E">
      <w:pPr>
        <w:pStyle w:val="TOC4"/>
        <w:rPr>
          <w:rFonts w:asciiTheme="minorHAnsi" w:eastAsiaTheme="minorEastAsia" w:hAnsiTheme="minorHAnsi" w:cstheme="minorBidi"/>
          <w:noProof/>
          <w:sz w:val="22"/>
          <w:szCs w:val="22"/>
        </w:rPr>
      </w:pPr>
      <w:r>
        <w:rPr>
          <w:noProof/>
        </w:rPr>
        <w:t>2.7.2.1</w:t>
      </w:r>
      <w:r>
        <w:rPr>
          <w:rFonts w:asciiTheme="minorHAnsi" w:eastAsiaTheme="minorEastAsia" w:hAnsiTheme="minorHAnsi" w:cstheme="minorBidi"/>
          <w:noProof/>
          <w:sz w:val="22"/>
          <w:szCs w:val="22"/>
        </w:rPr>
        <w:tab/>
      </w:r>
      <w:r>
        <w:rPr>
          <w:noProof/>
        </w:rPr>
        <w:t>Grounding Documentation</w:t>
      </w:r>
      <w:r>
        <w:rPr>
          <w:noProof/>
        </w:rPr>
        <w:tab/>
      </w:r>
      <w:r>
        <w:rPr>
          <w:noProof/>
        </w:rPr>
        <w:fldChar w:fldCharType="begin"/>
      </w:r>
      <w:r>
        <w:rPr>
          <w:noProof/>
        </w:rPr>
        <w:instrText xml:space="preserve"> PAGEREF _Toc471910759 \h </w:instrText>
      </w:r>
      <w:r>
        <w:rPr>
          <w:noProof/>
        </w:rPr>
      </w:r>
      <w:r>
        <w:rPr>
          <w:noProof/>
        </w:rPr>
        <w:fldChar w:fldCharType="separate"/>
      </w:r>
      <w:r>
        <w:rPr>
          <w:noProof/>
        </w:rPr>
        <w:t>12</w:t>
      </w:r>
      <w:r>
        <w:rPr>
          <w:noProof/>
        </w:rPr>
        <w:fldChar w:fldCharType="end"/>
      </w:r>
    </w:p>
    <w:p w14:paraId="45AE59EC" w14:textId="77777777" w:rsidR="00DB15E9" w:rsidRDefault="0078312E">
      <w:pPr>
        <w:pStyle w:val="TOC3"/>
        <w:rPr>
          <w:rFonts w:asciiTheme="minorHAnsi" w:eastAsiaTheme="minorEastAsia" w:hAnsiTheme="minorHAnsi" w:cstheme="minorBidi"/>
          <w:noProof/>
          <w:sz w:val="22"/>
        </w:rPr>
      </w:pPr>
      <w:r>
        <w:rPr>
          <w:noProof/>
        </w:rPr>
        <w:t>2.7.3</w:t>
      </w:r>
      <w:r>
        <w:rPr>
          <w:rFonts w:asciiTheme="minorHAnsi" w:eastAsiaTheme="minorEastAsia" w:hAnsiTheme="minorHAnsi" w:cstheme="minorBidi"/>
          <w:noProof/>
          <w:sz w:val="22"/>
        </w:rPr>
        <w:tab/>
      </w:r>
      <w:r>
        <w:rPr>
          <w:noProof/>
        </w:rPr>
        <w:t>Power Return</w:t>
      </w:r>
      <w:r>
        <w:rPr>
          <w:noProof/>
        </w:rPr>
        <w:tab/>
      </w:r>
      <w:r>
        <w:rPr>
          <w:noProof/>
        </w:rPr>
        <w:fldChar w:fldCharType="begin"/>
      </w:r>
      <w:r>
        <w:rPr>
          <w:noProof/>
        </w:rPr>
        <w:instrText xml:space="preserve"> PAGEREF _Toc471910760 \h </w:instrText>
      </w:r>
      <w:r>
        <w:rPr>
          <w:noProof/>
        </w:rPr>
      </w:r>
      <w:r>
        <w:rPr>
          <w:noProof/>
        </w:rPr>
        <w:fldChar w:fldCharType="separate"/>
      </w:r>
      <w:r>
        <w:rPr>
          <w:noProof/>
        </w:rPr>
        <w:t>12</w:t>
      </w:r>
      <w:r>
        <w:rPr>
          <w:noProof/>
        </w:rPr>
        <w:fldChar w:fldCharType="end"/>
      </w:r>
    </w:p>
    <w:p w14:paraId="4CBC9ABC" w14:textId="77777777" w:rsidR="00DB15E9" w:rsidRDefault="0078312E">
      <w:pPr>
        <w:pStyle w:val="TOC3"/>
        <w:rPr>
          <w:rFonts w:asciiTheme="minorHAnsi" w:eastAsiaTheme="minorEastAsia" w:hAnsiTheme="minorHAnsi" w:cstheme="minorBidi"/>
          <w:noProof/>
          <w:sz w:val="22"/>
        </w:rPr>
      </w:pPr>
      <w:r>
        <w:rPr>
          <w:noProof/>
        </w:rPr>
        <w:t>2.7.4</w:t>
      </w:r>
      <w:r>
        <w:rPr>
          <w:rFonts w:asciiTheme="minorHAnsi" w:eastAsiaTheme="minorEastAsia" w:hAnsiTheme="minorHAnsi" w:cstheme="minorBidi"/>
          <w:noProof/>
          <w:sz w:val="22"/>
        </w:rPr>
        <w:tab/>
      </w:r>
      <w:r>
        <w:rPr>
          <w:noProof/>
        </w:rPr>
        <w:t>Power Supply Voltage</w:t>
      </w:r>
      <w:r>
        <w:rPr>
          <w:noProof/>
        </w:rPr>
        <w:tab/>
      </w:r>
      <w:r>
        <w:rPr>
          <w:noProof/>
        </w:rPr>
        <w:fldChar w:fldCharType="begin"/>
      </w:r>
      <w:r>
        <w:rPr>
          <w:noProof/>
        </w:rPr>
        <w:instrText xml:space="preserve"> PAGEREF _Toc471910761 \h </w:instrText>
      </w:r>
      <w:r>
        <w:rPr>
          <w:noProof/>
        </w:rPr>
      </w:r>
      <w:r>
        <w:rPr>
          <w:noProof/>
        </w:rPr>
        <w:fldChar w:fldCharType="separate"/>
      </w:r>
      <w:r>
        <w:rPr>
          <w:noProof/>
        </w:rPr>
        <w:t>12</w:t>
      </w:r>
      <w:r>
        <w:rPr>
          <w:noProof/>
        </w:rPr>
        <w:fldChar w:fldCharType="end"/>
      </w:r>
    </w:p>
    <w:p w14:paraId="7A88FCA1" w14:textId="77777777" w:rsidR="00DB15E9" w:rsidRDefault="0078312E">
      <w:pPr>
        <w:pStyle w:val="TOC3"/>
        <w:rPr>
          <w:rFonts w:asciiTheme="minorHAnsi" w:eastAsiaTheme="minorEastAsia" w:hAnsiTheme="minorHAnsi" w:cstheme="minorBidi"/>
          <w:noProof/>
          <w:sz w:val="22"/>
        </w:rPr>
      </w:pPr>
      <w:r>
        <w:rPr>
          <w:noProof/>
        </w:rPr>
        <w:t>2.7.5</w:t>
      </w:r>
      <w:r>
        <w:rPr>
          <w:rFonts w:asciiTheme="minorHAnsi" w:eastAsiaTheme="minorEastAsia" w:hAnsiTheme="minorHAnsi" w:cstheme="minorBidi"/>
          <w:noProof/>
          <w:sz w:val="22"/>
        </w:rPr>
        <w:tab/>
      </w:r>
      <w:r>
        <w:rPr>
          <w:noProof/>
        </w:rPr>
        <w:t>Power Bus Interface</w:t>
      </w:r>
      <w:r>
        <w:rPr>
          <w:noProof/>
        </w:rPr>
        <w:tab/>
      </w:r>
      <w:r>
        <w:rPr>
          <w:noProof/>
        </w:rPr>
        <w:fldChar w:fldCharType="begin"/>
      </w:r>
      <w:r>
        <w:rPr>
          <w:noProof/>
        </w:rPr>
        <w:instrText xml:space="preserve"> PAGEREF _Toc471910762 \h </w:instrText>
      </w:r>
      <w:r>
        <w:rPr>
          <w:noProof/>
        </w:rPr>
      </w:r>
      <w:r>
        <w:rPr>
          <w:noProof/>
        </w:rPr>
        <w:fldChar w:fldCharType="separate"/>
      </w:r>
      <w:r>
        <w:rPr>
          <w:noProof/>
        </w:rPr>
        <w:t>12</w:t>
      </w:r>
      <w:r>
        <w:rPr>
          <w:noProof/>
        </w:rPr>
        <w:fldChar w:fldCharType="end"/>
      </w:r>
    </w:p>
    <w:p w14:paraId="7450A0A0" w14:textId="77777777" w:rsidR="00DB15E9" w:rsidRDefault="0078312E">
      <w:pPr>
        <w:pStyle w:val="TOC3"/>
        <w:rPr>
          <w:rFonts w:asciiTheme="minorHAnsi" w:eastAsiaTheme="minorEastAsia" w:hAnsiTheme="minorHAnsi" w:cstheme="minorBidi"/>
          <w:noProof/>
          <w:sz w:val="22"/>
        </w:rPr>
      </w:pPr>
      <w:r>
        <w:rPr>
          <w:noProof/>
        </w:rPr>
        <w:t>2.7.6</w:t>
      </w:r>
      <w:r>
        <w:rPr>
          <w:rFonts w:asciiTheme="minorHAnsi" w:eastAsiaTheme="minorEastAsia" w:hAnsiTheme="minorHAnsi" w:cstheme="minorBidi"/>
          <w:noProof/>
          <w:sz w:val="22"/>
        </w:rPr>
        <w:tab/>
      </w:r>
      <w:r>
        <w:rPr>
          <w:noProof/>
        </w:rPr>
        <w:t>Survival Heater Bus Interface</w:t>
      </w:r>
      <w:r>
        <w:rPr>
          <w:noProof/>
        </w:rPr>
        <w:tab/>
      </w:r>
      <w:r>
        <w:rPr>
          <w:noProof/>
        </w:rPr>
        <w:fldChar w:fldCharType="begin"/>
      </w:r>
      <w:r>
        <w:rPr>
          <w:noProof/>
        </w:rPr>
        <w:instrText xml:space="preserve"> PAGEREF _Toc471910763 \h </w:instrText>
      </w:r>
      <w:r>
        <w:rPr>
          <w:noProof/>
        </w:rPr>
      </w:r>
      <w:r>
        <w:rPr>
          <w:noProof/>
        </w:rPr>
        <w:fldChar w:fldCharType="separate"/>
      </w:r>
      <w:r>
        <w:rPr>
          <w:noProof/>
        </w:rPr>
        <w:t>12</w:t>
      </w:r>
      <w:r>
        <w:rPr>
          <w:noProof/>
        </w:rPr>
        <w:fldChar w:fldCharType="end"/>
      </w:r>
    </w:p>
    <w:p w14:paraId="542F08F1" w14:textId="77777777" w:rsidR="00DB15E9" w:rsidRDefault="0078312E">
      <w:pPr>
        <w:pStyle w:val="TOC3"/>
        <w:rPr>
          <w:rFonts w:asciiTheme="minorHAnsi" w:eastAsiaTheme="minorEastAsia" w:hAnsiTheme="minorHAnsi" w:cstheme="minorBidi"/>
          <w:noProof/>
          <w:sz w:val="22"/>
        </w:rPr>
      </w:pPr>
      <w:r>
        <w:rPr>
          <w:noProof/>
        </w:rPr>
        <w:t>2.7.7</w:t>
      </w:r>
      <w:r>
        <w:rPr>
          <w:rFonts w:asciiTheme="minorHAnsi" w:eastAsiaTheme="minorEastAsia" w:hAnsiTheme="minorHAnsi" w:cstheme="minorBidi"/>
          <w:noProof/>
          <w:sz w:val="22"/>
        </w:rPr>
        <w:tab/>
      </w:r>
      <w:r>
        <w:rPr>
          <w:noProof/>
        </w:rPr>
        <w:t>Bonding</w:t>
      </w:r>
      <w:r>
        <w:rPr>
          <w:noProof/>
        </w:rPr>
        <w:tab/>
      </w:r>
      <w:r>
        <w:rPr>
          <w:noProof/>
        </w:rPr>
        <w:fldChar w:fldCharType="begin"/>
      </w:r>
      <w:r>
        <w:rPr>
          <w:noProof/>
        </w:rPr>
        <w:instrText xml:space="preserve"> PAGEREF _Toc471910764 \h </w:instrText>
      </w:r>
      <w:r>
        <w:rPr>
          <w:noProof/>
        </w:rPr>
      </w:r>
      <w:r>
        <w:rPr>
          <w:noProof/>
        </w:rPr>
        <w:fldChar w:fldCharType="separate"/>
      </w:r>
      <w:r>
        <w:rPr>
          <w:noProof/>
        </w:rPr>
        <w:t>13</w:t>
      </w:r>
      <w:r>
        <w:rPr>
          <w:noProof/>
        </w:rPr>
        <w:fldChar w:fldCharType="end"/>
      </w:r>
    </w:p>
    <w:p w14:paraId="2B76F844" w14:textId="77777777" w:rsidR="00DB15E9" w:rsidRDefault="0078312E">
      <w:pPr>
        <w:pStyle w:val="TOC3"/>
        <w:rPr>
          <w:rFonts w:asciiTheme="minorHAnsi" w:eastAsiaTheme="minorEastAsia" w:hAnsiTheme="minorHAnsi" w:cstheme="minorBidi"/>
          <w:noProof/>
          <w:sz w:val="22"/>
        </w:rPr>
      </w:pPr>
      <w:r>
        <w:rPr>
          <w:noProof/>
        </w:rPr>
        <w:t>2.7.8</w:t>
      </w:r>
      <w:r>
        <w:rPr>
          <w:rFonts w:asciiTheme="minorHAnsi" w:eastAsiaTheme="minorEastAsia" w:hAnsiTheme="minorHAnsi" w:cstheme="minorBidi"/>
          <w:noProof/>
          <w:sz w:val="22"/>
        </w:rPr>
        <w:tab/>
      </w:r>
      <w:r>
        <w:rPr>
          <w:noProof/>
        </w:rPr>
        <w:t>Mitigation of In-Space Charging Effects</w:t>
      </w:r>
      <w:r>
        <w:rPr>
          <w:noProof/>
        </w:rPr>
        <w:tab/>
      </w:r>
      <w:r>
        <w:rPr>
          <w:noProof/>
        </w:rPr>
        <w:fldChar w:fldCharType="begin"/>
      </w:r>
      <w:r>
        <w:rPr>
          <w:noProof/>
        </w:rPr>
        <w:instrText xml:space="preserve"> PAGEREF _Toc471910765 \h </w:instrText>
      </w:r>
      <w:r>
        <w:rPr>
          <w:noProof/>
        </w:rPr>
      </w:r>
      <w:r>
        <w:rPr>
          <w:noProof/>
        </w:rPr>
        <w:fldChar w:fldCharType="separate"/>
      </w:r>
      <w:r>
        <w:rPr>
          <w:noProof/>
        </w:rPr>
        <w:t>13</w:t>
      </w:r>
      <w:r>
        <w:rPr>
          <w:noProof/>
        </w:rPr>
        <w:fldChar w:fldCharType="end"/>
      </w:r>
    </w:p>
    <w:p w14:paraId="0E1F2611" w14:textId="77777777" w:rsidR="00DB15E9" w:rsidRDefault="0078312E">
      <w:pPr>
        <w:pStyle w:val="TOC3"/>
        <w:rPr>
          <w:rFonts w:asciiTheme="minorHAnsi" w:eastAsiaTheme="minorEastAsia" w:hAnsiTheme="minorHAnsi" w:cstheme="minorBidi"/>
          <w:noProof/>
          <w:sz w:val="22"/>
        </w:rPr>
      </w:pPr>
      <w:r>
        <w:rPr>
          <w:noProof/>
        </w:rPr>
        <w:t>2.7.9</w:t>
      </w:r>
      <w:r>
        <w:rPr>
          <w:rFonts w:asciiTheme="minorHAnsi" w:eastAsiaTheme="minorEastAsia" w:hAnsiTheme="minorHAnsi" w:cstheme="minorBidi"/>
          <w:noProof/>
          <w:sz w:val="22"/>
        </w:rPr>
        <w:tab/>
      </w:r>
      <w:r>
        <w:rPr>
          <w:noProof/>
        </w:rPr>
        <w:t>EPS Accommodation</w:t>
      </w:r>
      <w:r>
        <w:rPr>
          <w:noProof/>
        </w:rPr>
        <w:tab/>
      </w:r>
      <w:r>
        <w:rPr>
          <w:noProof/>
        </w:rPr>
        <w:fldChar w:fldCharType="begin"/>
      </w:r>
      <w:r>
        <w:rPr>
          <w:noProof/>
        </w:rPr>
        <w:instrText xml:space="preserve"> PAGEREF _Toc471910766 \h </w:instrText>
      </w:r>
      <w:r>
        <w:rPr>
          <w:noProof/>
        </w:rPr>
      </w:r>
      <w:r>
        <w:rPr>
          <w:noProof/>
        </w:rPr>
        <w:fldChar w:fldCharType="separate"/>
      </w:r>
      <w:r>
        <w:rPr>
          <w:noProof/>
        </w:rPr>
        <w:t>13</w:t>
      </w:r>
      <w:r>
        <w:rPr>
          <w:noProof/>
        </w:rPr>
        <w:fldChar w:fldCharType="end"/>
      </w:r>
    </w:p>
    <w:p w14:paraId="5C041A17" w14:textId="77777777" w:rsidR="00DB15E9" w:rsidRDefault="0078312E">
      <w:pPr>
        <w:pStyle w:val="TOC4"/>
        <w:rPr>
          <w:rFonts w:asciiTheme="minorHAnsi" w:eastAsiaTheme="minorEastAsia" w:hAnsiTheme="minorHAnsi" w:cstheme="minorBidi"/>
          <w:noProof/>
          <w:sz w:val="22"/>
          <w:szCs w:val="22"/>
        </w:rPr>
      </w:pPr>
      <w:r>
        <w:rPr>
          <w:noProof/>
        </w:rPr>
        <w:t>2.7.9.1</w:t>
      </w:r>
      <w:r>
        <w:rPr>
          <w:rFonts w:asciiTheme="minorHAnsi" w:eastAsiaTheme="minorEastAsia" w:hAnsiTheme="minorHAnsi" w:cstheme="minorBidi"/>
          <w:noProof/>
          <w:sz w:val="22"/>
          <w:szCs w:val="22"/>
        </w:rPr>
        <w:tab/>
      </w:r>
      <w:r>
        <w:rPr>
          <w:noProof/>
        </w:rPr>
        <w:t>Instrument Power Harness</w:t>
      </w:r>
      <w:r>
        <w:rPr>
          <w:noProof/>
        </w:rPr>
        <w:tab/>
      </w:r>
      <w:r>
        <w:rPr>
          <w:noProof/>
        </w:rPr>
        <w:fldChar w:fldCharType="begin"/>
      </w:r>
      <w:r>
        <w:rPr>
          <w:noProof/>
        </w:rPr>
        <w:instrText xml:space="preserve"> PAGEREF _Toc471910767 \h </w:instrText>
      </w:r>
      <w:r>
        <w:rPr>
          <w:noProof/>
        </w:rPr>
      </w:r>
      <w:r>
        <w:rPr>
          <w:noProof/>
        </w:rPr>
        <w:fldChar w:fldCharType="separate"/>
      </w:r>
      <w:r>
        <w:rPr>
          <w:noProof/>
        </w:rPr>
        <w:t>13</w:t>
      </w:r>
      <w:r>
        <w:rPr>
          <w:noProof/>
        </w:rPr>
        <w:fldChar w:fldCharType="end"/>
      </w:r>
    </w:p>
    <w:p w14:paraId="2469BBE0" w14:textId="77777777" w:rsidR="00DB15E9" w:rsidRDefault="0078312E">
      <w:pPr>
        <w:pStyle w:val="TOC4"/>
        <w:rPr>
          <w:rFonts w:asciiTheme="minorHAnsi" w:eastAsiaTheme="minorEastAsia" w:hAnsiTheme="minorHAnsi" w:cstheme="minorBidi"/>
          <w:noProof/>
          <w:sz w:val="22"/>
          <w:szCs w:val="22"/>
        </w:rPr>
      </w:pPr>
      <w:r>
        <w:rPr>
          <w:noProof/>
        </w:rPr>
        <w:t>2.7.9.2</w:t>
      </w:r>
      <w:r>
        <w:rPr>
          <w:rFonts w:asciiTheme="minorHAnsi" w:eastAsiaTheme="minorEastAsia" w:hAnsiTheme="minorHAnsi" w:cstheme="minorBidi"/>
          <w:noProof/>
          <w:sz w:val="22"/>
          <w:szCs w:val="22"/>
        </w:rPr>
        <w:tab/>
      </w:r>
      <w:r>
        <w:rPr>
          <w:noProof/>
        </w:rPr>
        <w:t>Allocation of Instrument Power</w:t>
      </w:r>
      <w:r>
        <w:rPr>
          <w:noProof/>
        </w:rPr>
        <w:tab/>
      </w:r>
      <w:r>
        <w:rPr>
          <w:noProof/>
        </w:rPr>
        <w:fldChar w:fldCharType="begin"/>
      </w:r>
      <w:r>
        <w:rPr>
          <w:noProof/>
        </w:rPr>
        <w:instrText xml:space="preserve"> PAGEREF _Toc471910768 \h </w:instrText>
      </w:r>
      <w:r>
        <w:rPr>
          <w:noProof/>
        </w:rPr>
      </w:r>
      <w:r>
        <w:rPr>
          <w:noProof/>
        </w:rPr>
        <w:fldChar w:fldCharType="separate"/>
      </w:r>
      <w:r>
        <w:rPr>
          <w:noProof/>
        </w:rPr>
        <w:t>13</w:t>
      </w:r>
      <w:r>
        <w:rPr>
          <w:noProof/>
        </w:rPr>
        <w:fldChar w:fldCharType="end"/>
      </w:r>
    </w:p>
    <w:p w14:paraId="075939D9" w14:textId="77777777" w:rsidR="00DB15E9" w:rsidRDefault="0078312E">
      <w:pPr>
        <w:pStyle w:val="TOC4"/>
        <w:rPr>
          <w:rFonts w:asciiTheme="minorHAnsi" w:eastAsiaTheme="minorEastAsia" w:hAnsiTheme="minorHAnsi" w:cstheme="minorBidi"/>
          <w:noProof/>
          <w:sz w:val="22"/>
          <w:szCs w:val="22"/>
        </w:rPr>
      </w:pPr>
      <w:r>
        <w:rPr>
          <w:noProof/>
        </w:rPr>
        <w:t>2.7.9.3</w:t>
      </w:r>
      <w:r>
        <w:rPr>
          <w:rFonts w:asciiTheme="minorHAnsi" w:eastAsiaTheme="minorEastAsia" w:hAnsiTheme="minorHAnsi" w:cstheme="minorBidi"/>
          <w:noProof/>
          <w:sz w:val="22"/>
          <w:szCs w:val="22"/>
        </w:rPr>
        <w:tab/>
      </w:r>
      <w:r>
        <w:rPr>
          <w:noProof/>
        </w:rPr>
        <w:t>Unannounced Removal of Power</w:t>
      </w:r>
      <w:r>
        <w:rPr>
          <w:noProof/>
        </w:rPr>
        <w:tab/>
      </w:r>
      <w:r>
        <w:rPr>
          <w:noProof/>
        </w:rPr>
        <w:fldChar w:fldCharType="begin"/>
      </w:r>
      <w:r>
        <w:rPr>
          <w:noProof/>
        </w:rPr>
        <w:instrText xml:space="preserve"> PAGEREF _Toc471910769 \h </w:instrText>
      </w:r>
      <w:r>
        <w:rPr>
          <w:noProof/>
        </w:rPr>
      </w:r>
      <w:r>
        <w:rPr>
          <w:noProof/>
        </w:rPr>
        <w:fldChar w:fldCharType="separate"/>
      </w:r>
      <w:r>
        <w:rPr>
          <w:noProof/>
        </w:rPr>
        <w:t>14</w:t>
      </w:r>
      <w:r>
        <w:rPr>
          <w:noProof/>
        </w:rPr>
        <w:fldChar w:fldCharType="end"/>
      </w:r>
    </w:p>
    <w:p w14:paraId="050CF986" w14:textId="77777777" w:rsidR="00DB15E9" w:rsidRDefault="0078312E">
      <w:pPr>
        <w:pStyle w:val="TOC4"/>
        <w:rPr>
          <w:rFonts w:asciiTheme="minorHAnsi" w:eastAsiaTheme="minorEastAsia" w:hAnsiTheme="minorHAnsi" w:cstheme="minorBidi"/>
          <w:noProof/>
          <w:sz w:val="22"/>
          <w:szCs w:val="22"/>
        </w:rPr>
      </w:pPr>
      <w:r>
        <w:rPr>
          <w:noProof/>
        </w:rPr>
        <w:t>2.7.9.4</w:t>
      </w:r>
      <w:r>
        <w:rPr>
          <w:rFonts w:asciiTheme="minorHAnsi" w:eastAsiaTheme="minorEastAsia" w:hAnsiTheme="minorHAnsi" w:cstheme="minorBidi"/>
          <w:noProof/>
          <w:sz w:val="22"/>
          <w:szCs w:val="22"/>
        </w:rPr>
        <w:tab/>
      </w:r>
      <w:r>
        <w:rPr>
          <w:noProof/>
        </w:rPr>
        <w:t>Reversal of Power</w:t>
      </w:r>
      <w:r>
        <w:rPr>
          <w:noProof/>
        </w:rPr>
        <w:tab/>
      </w:r>
      <w:r>
        <w:rPr>
          <w:noProof/>
        </w:rPr>
        <w:fldChar w:fldCharType="begin"/>
      </w:r>
      <w:r>
        <w:rPr>
          <w:noProof/>
        </w:rPr>
        <w:instrText xml:space="preserve"> PAGEREF _Toc471910770 \h </w:instrText>
      </w:r>
      <w:r>
        <w:rPr>
          <w:noProof/>
        </w:rPr>
      </w:r>
      <w:r>
        <w:rPr>
          <w:noProof/>
        </w:rPr>
        <w:fldChar w:fldCharType="separate"/>
      </w:r>
      <w:r>
        <w:rPr>
          <w:noProof/>
        </w:rPr>
        <w:t>14</w:t>
      </w:r>
      <w:r>
        <w:rPr>
          <w:noProof/>
        </w:rPr>
        <w:fldChar w:fldCharType="end"/>
      </w:r>
    </w:p>
    <w:p w14:paraId="5DCD4C4A" w14:textId="77777777" w:rsidR="00DB15E9" w:rsidRDefault="0078312E">
      <w:pPr>
        <w:pStyle w:val="TOC4"/>
        <w:rPr>
          <w:rFonts w:asciiTheme="minorHAnsi" w:eastAsiaTheme="minorEastAsia" w:hAnsiTheme="minorHAnsi" w:cstheme="minorBidi"/>
          <w:noProof/>
          <w:sz w:val="22"/>
          <w:szCs w:val="22"/>
        </w:rPr>
      </w:pPr>
      <w:r>
        <w:rPr>
          <w:noProof/>
        </w:rPr>
        <w:t>2.7.9.5</w:t>
      </w:r>
      <w:r>
        <w:rPr>
          <w:rFonts w:asciiTheme="minorHAnsi" w:eastAsiaTheme="minorEastAsia" w:hAnsiTheme="minorHAnsi" w:cstheme="minorBidi"/>
          <w:noProof/>
          <w:sz w:val="22"/>
          <w:szCs w:val="22"/>
        </w:rPr>
        <w:tab/>
      </w:r>
      <w:r>
        <w:rPr>
          <w:noProof/>
        </w:rPr>
        <w:t>Power-Up and Power-Down</w:t>
      </w:r>
      <w:r>
        <w:rPr>
          <w:noProof/>
        </w:rPr>
        <w:tab/>
      </w:r>
      <w:r>
        <w:rPr>
          <w:noProof/>
        </w:rPr>
        <w:fldChar w:fldCharType="begin"/>
      </w:r>
      <w:r>
        <w:rPr>
          <w:noProof/>
        </w:rPr>
        <w:instrText xml:space="preserve"> PAGEREF _Toc471910771 \h </w:instrText>
      </w:r>
      <w:r>
        <w:rPr>
          <w:noProof/>
        </w:rPr>
      </w:r>
      <w:r>
        <w:rPr>
          <w:noProof/>
        </w:rPr>
        <w:fldChar w:fldCharType="separate"/>
      </w:r>
      <w:r>
        <w:rPr>
          <w:noProof/>
        </w:rPr>
        <w:t>14</w:t>
      </w:r>
      <w:r>
        <w:rPr>
          <w:noProof/>
        </w:rPr>
        <w:fldChar w:fldCharType="end"/>
      </w:r>
    </w:p>
    <w:p w14:paraId="27F49F15" w14:textId="77777777" w:rsidR="00DB15E9" w:rsidRDefault="0078312E">
      <w:pPr>
        <w:pStyle w:val="TOC4"/>
        <w:rPr>
          <w:rFonts w:asciiTheme="minorHAnsi" w:eastAsiaTheme="minorEastAsia" w:hAnsiTheme="minorHAnsi" w:cstheme="minorBidi"/>
          <w:noProof/>
          <w:sz w:val="22"/>
          <w:szCs w:val="22"/>
        </w:rPr>
      </w:pPr>
      <w:r>
        <w:rPr>
          <w:noProof/>
        </w:rPr>
        <w:lastRenderedPageBreak/>
        <w:t>2.7.9.6</w:t>
      </w:r>
      <w:r>
        <w:rPr>
          <w:rFonts w:asciiTheme="minorHAnsi" w:eastAsiaTheme="minorEastAsia" w:hAnsiTheme="minorHAnsi" w:cstheme="minorBidi"/>
          <w:noProof/>
          <w:sz w:val="22"/>
          <w:szCs w:val="22"/>
        </w:rPr>
        <w:tab/>
      </w:r>
      <w:r>
        <w:rPr>
          <w:noProof/>
        </w:rPr>
        <w:t>Abnormal Operation Steady-State Voltage Limits</w:t>
      </w:r>
      <w:r>
        <w:rPr>
          <w:noProof/>
        </w:rPr>
        <w:tab/>
      </w:r>
      <w:r>
        <w:rPr>
          <w:noProof/>
        </w:rPr>
        <w:fldChar w:fldCharType="begin"/>
      </w:r>
      <w:r>
        <w:rPr>
          <w:noProof/>
        </w:rPr>
        <w:instrText xml:space="preserve"> PAGEREF _Toc471910772 \h </w:instrText>
      </w:r>
      <w:r>
        <w:rPr>
          <w:noProof/>
        </w:rPr>
      </w:r>
      <w:r>
        <w:rPr>
          <w:noProof/>
        </w:rPr>
        <w:fldChar w:fldCharType="separate"/>
      </w:r>
      <w:r>
        <w:rPr>
          <w:noProof/>
        </w:rPr>
        <w:t>14</w:t>
      </w:r>
      <w:r>
        <w:rPr>
          <w:noProof/>
        </w:rPr>
        <w:fldChar w:fldCharType="end"/>
      </w:r>
    </w:p>
    <w:p w14:paraId="6E87A731" w14:textId="77777777" w:rsidR="00DB15E9" w:rsidRDefault="0078312E">
      <w:pPr>
        <w:pStyle w:val="TOC2"/>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t>Mechanical Guidelines</w:t>
      </w:r>
      <w:r>
        <w:tab/>
      </w:r>
      <w:r>
        <w:fldChar w:fldCharType="begin"/>
      </w:r>
      <w:r>
        <w:instrText xml:space="preserve"> PAGEREF _Toc471910773 \h </w:instrText>
      </w:r>
      <w:r>
        <w:fldChar w:fldCharType="separate"/>
      </w:r>
      <w:r>
        <w:t>14</w:t>
      </w:r>
      <w:r>
        <w:fldChar w:fldCharType="end"/>
      </w:r>
    </w:p>
    <w:p w14:paraId="6525F657" w14:textId="77777777" w:rsidR="00DB15E9" w:rsidRDefault="0078312E">
      <w:pPr>
        <w:pStyle w:val="TOC3"/>
        <w:rPr>
          <w:rFonts w:asciiTheme="minorHAnsi" w:eastAsiaTheme="minorEastAsia" w:hAnsiTheme="minorHAnsi" w:cstheme="minorBidi"/>
          <w:noProof/>
          <w:sz w:val="22"/>
        </w:rPr>
      </w:pPr>
      <w:r>
        <w:rPr>
          <w:noProof/>
        </w:rPr>
        <w:t>2.8.1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_Toc471910774 \h </w:instrText>
      </w:r>
      <w:r>
        <w:rPr>
          <w:noProof/>
        </w:rPr>
      </w:r>
      <w:r>
        <w:rPr>
          <w:noProof/>
        </w:rPr>
        <w:fldChar w:fldCharType="separate"/>
      </w:r>
      <w:r>
        <w:rPr>
          <w:noProof/>
        </w:rPr>
        <w:t>14</w:t>
      </w:r>
      <w:r>
        <w:rPr>
          <w:noProof/>
        </w:rPr>
        <w:fldChar w:fldCharType="end"/>
      </w:r>
    </w:p>
    <w:p w14:paraId="7C68450A" w14:textId="77777777" w:rsidR="00DB15E9" w:rsidRDefault="0078312E">
      <w:pPr>
        <w:pStyle w:val="TOC3"/>
        <w:rPr>
          <w:rFonts w:asciiTheme="minorHAnsi" w:eastAsiaTheme="minorEastAsia" w:hAnsiTheme="minorHAnsi" w:cstheme="minorBidi"/>
          <w:noProof/>
          <w:sz w:val="22"/>
        </w:rPr>
      </w:pPr>
      <w:r>
        <w:rPr>
          <w:noProof/>
        </w:rPr>
        <w:t>2.8.2</w:t>
      </w:r>
      <w:r>
        <w:rPr>
          <w:rFonts w:asciiTheme="minorHAnsi" w:eastAsiaTheme="minorEastAsia" w:hAnsiTheme="minorHAnsi" w:cstheme="minorBidi"/>
          <w:noProof/>
          <w:sz w:val="22"/>
        </w:rPr>
        <w:tab/>
      </w:r>
      <w:r>
        <w:rPr>
          <w:noProof/>
        </w:rPr>
        <w:t>Mechanical Interface</w:t>
      </w:r>
      <w:r>
        <w:rPr>
          <w:noProof/>
        </w:rPr>
        <w:tab/>
      </w:r>
      <w:r>
        <w:rPr>
          <w:noProof/>
        </w:rPr>
        <w:fldChar w:fldCharType="begin"/>
      </w:r>
      <w:r>
        <w:rPr>
          <w:noProof/>
        </w:rPr>
        <w:instrText xml:space="preserve"> PAGEREF _Toc471910775 \h </w:instrText>
      </w:r>
      <w:r>
        <w:rPr>
          <w:noProof/>
        </w:rPr>
      </w:r>
      <w:r>
        <w:rPr>
          <w:noProof/>
        </w:rPr>
        <w:fldChar w:fldCharType="separate"/>
      </w:r>
      <w:r>
        <w:rPr>
          <w:noProof/>
        </w:rPr>
        <w:t>15</w:t>
      </w:r>
      <w:r>
        <w:rPr>
          <w:noProof/>
        </w:rPr>
        <w:fldChar w:fldCharType="end"/>
      </w:r>
    </w:p>
    <w:p w14:paraId="472D7DE1" w14:textId="77777777" w:rsidR="00DB15E9" w:rsidRDefault="0078312E">
      <w:pPr>
        <w:pStyle w:val="TOC3"/>
        <w:rPr>
          <w:rFonts w:asciiTheme="minorHAnsi" w:eastAsiaTheme="minorEastAsia" w:hAnsiTheme="minorHAnsi" w:cstheme="minorBidi"/>
          <w:noProof/>
          <w:sz w:val="22"/>
        </w:rPr>
      </w:pPr>
      <w:r>
        <w:rPr>
          <w:noProof/>
        </w:rPr>
        <w:t>2.8.3</w:t>
      </w:r>
      <w:r>
        <w:rPr>
          <w:rFonts w:asciiTheme="minorHAnsi" w:eastAsiaTheme="minorEastAsia" w:hAnsiTheme="minorHAnsi" w:cstheme="minorBidi"/>
          <w:noProof/>
          <w:sz w:val="22"/>
        </w:rPr>
        <w:tab/>
      </w:r>
      <w:r>
        <w:rPr>
          <w:noProof/>
        </w:rPr>
        <w:t>Mechanical Accommodation</w:t>
      </w:r>
      <w:r>
        <w:rPr>
          <w:noProof/>
        </w:rPr>
        <w:tab/>
      </w:r>
      <w:r>
        <w:rPr>
          <w:noProof/>
        </w:rPr>
        <w:fldChar w:fldCharType="begin"/>
      </w:r>
      <w:r>
        <w:rPr>
          <w:noProof/>
        </w:rPr>
        <w:instrText xml:space="preserve"> PAGEREF _Toc471910776 \h </w:instrText>
      </w:r>
      <w:r>
        <w:rPr>
          <w:noProof/>
        </w:rPr>
      </w:r>
      <w:r>
        <w:rPr>
          <w:noProof/>
        </w:rPr>
        <w:fldChar w:fldCharType="separate"/>
      </w:r>
      <w:r>
        <w:rPr>
          <w:noProof/>
        </w:rPr>
        <w:t>15</w:t>
      </w:r>
      <w:r>
        <w:rPr>
          <w:noProof/>
        </w:rPr>
        <w:fldChar w:fldCharType="end"/>
      </w:r>
    </w:p>
    <w:p w14:paraId="3742F449" w14:textId="77777777" w:rsidR="00DB15E9" w:rsidRDefault="0078312E">
      <w:pPr>
        <w:pStyle w:val="TOC4"/>
        <w:rPr>
          <w:rFonts w:asciiTheme="minorHAnsi" w:eastAsiaTheme="minorEastAsia" w:hAnsiTheme="minorHAnsi" w:cstheme="minorBidi"/>
          <w:noProof/>
          <w:sz w:val="22"/>
          <w:szCs w:val="22"/>
        </w:rPr>
      </w:pPr>
      <w:r>
        <w:rPr>
          <w:noProof/>
        </w:rPr>
        <w:t>2.8.3.1</w:t>
      </w:r>
      <w:r>
        <w:rPr>
          <w:rFonts w:asciiTheme="minorHAnsi" w:eastAsiaTheme="minorEastAsia" w:hAnsiTheme="minorHAnsi" w:cstheme="minorBidi"/>
          <w:noProof/>
          <w:sz w:val="22"/>
          <w:szCs w:val="22"/>
        </w:rPr>
        <w:tab/>
      </w:r>
      <w:r>
        <w:rPr>
          <w:noProof/>
        </w:rPr>
        <w:t>Mass</w:t>
      </w:r>
      <w:r>
        <w:rPr>
          <w:noProof/>
        </w:rPr>
        <w:tab/>
      </w:r>
      <w:r>
        <w:rPr>
          <w:noProof/>
        </w:rPr>
        <w:fldChar w:fldCharType="begin"/>
      </w:r>
      <w:r>
        <w:rPr>
          <w:noProof/>
        </w:rPr>
        <w:instrText xml:space="preserve"> PAGEREF _Toc471910777 \h </w:instrText>
      </w:r>
      <w:r>
        <w:rPr>
          <w:noProof/>
        </w:rPr>
      </w:r>
      <w:r>
        <w:rPr>
          <w:noProof/>
        </w:rPr>
        <w:fldChar w:fldCharType="separate"/>
      </w:r>
      <w:r>
        <w:rPr>
          <w:noProof/>
        </w:rPr>
        <w:t>15</w:t>
      </w:r>
      <w:r>
        <w:rPr>
          <w:noProof/>
        </w:rPr>
        <w:fldChar w:fldCharType="end"/>
      </w:r>
    </w:p>
    <w:p w14:paraId="1EA25C4E" w14:textId="77777777" w:rsidR="00DB15E9" w:rsidRDefault="0078312E">
      <w:pPr>
        <w:pStyle w:val="TOC4"/>
        <w:rPr>
          <w:rFonts w:asciiTheme="minorHAnsi" w:eastAsiaTheme="minorEastAsia" w:hAnsiTheme="minorHAnsi" w:cstheme="minorBidi"/>
          <w:noProof/>
          <w:sz w:val="22"/>
          <w:szCs w:val="22"/>
        </w:rPr>
      </w:pPr>
      <w:r>
        <w:rPr>
          <w:noProof/>
        </w:rPr>
        <w:t>2.8.3.2</w:t>
      </w:r>
      <w:r>
        <w:rPr>
          <w:rFonts w:asciiTheme="minorHAnsi" w:eastAsiaTheme="minorEastAsia" w:hAnsiTheme="minorHAnsi" w:cstheme="minorBidi"/>
          <w:noProof/>
          <w:sz w:val="22"/>
          <w:szCs w:val="22"/>
        </w:rPr>
        <w:tab/>
      </w:r>
      <w:r>
        <w:rPr>
          <w:noProof/>
        </w:rPr>
        <w:t>Volume</w:t>
      </w:r>
      <w:r>
        <w:rPr>
          <w:noProof/>
        </w:rPr>
        <w:tab/>
      </w:r>
      <w:r>
        <w:rPr>
          <w:noProof/>
        </w:rPr>
        <w:fldChar w:fldCharType="begin"/>
      </w:r>
      <w:r>
        <w:rPr>
          <w:noProof/>
        </w:rPr>
        <w:instrText xml:space="preserve"> PAGEREF _Toc471910778 \h </w:instrText>
      </w:r>
      <w:r>
        <w:rPr>
          <w:noProof/>
        </w:rPr>
      </w:r>
      <w:r>
        <w:rPr>
          <w:noProof/>
        </w:rPr>
        <w:fldChar w:fldCharType="separate"/>
      </w:r>
      <w:r>
        <w:rPr>
          <w:noProof/>
        </w:rPr>
        <w:t>15</w:t>
      </w:r>
      <w:r>
        <w:rPr>
          <w:noProof/>
        </w:rPr>
        <w:fldChar w:fldCharType="end"/>
      </w:r>
    </w:p>
    <w:p w14:paraId="55BBD043" w14:textId="77777777" w:rsidR="00DB15E9" w:rsidRDefault="0078312E">
      <w:pPr>
        <w:pStyle w:val="TOC3"/>
        <w:rPr>
          <w:rFonts w:asciiTheme="minorHAnsi" w:eastAsiaTheme="minorEastAsia" w:hAnsiTheme="minorHAnsi" w:cstheme="minorBidi"/>
          <w:noProof/>
          <w:sz w:val="22"/>
        </w:rPr>
      </w:pPr>
      <w:r>
        <w:rPr>
          <w:noProof/>
        </w:rPr>
        <w:t>2.8.4</w:t>
      </w:r>
      <w:r>
        <w:rPr>
          <w:rFonts w:asciiTheme="minorHAnsi" w:eastAsiaTheme="minorEastAsia" w:hAnsiTheme="minorHAnsi" w:cstheme="minorBidi"/>
          <w:noProof/>
          <w:sz w:val="22"/>
        </w:rPr>
        <w:tab/>
      </w:r>
      <w:r>
        <w:rPr>
          <w:noProof/>
        </w:rPr>
        <w:t>Functionality in 1 g Environment</w:t>
      </w:r>
      <w:r>
        <w:rPr>
          <w:noProof/>
        </w:rPr>
        <w:tab/>
      </w:r>
      <w:r>
        <w:rPr>
          <w:noProof/>
        </w:rPr>
        <w:fldChar w:fldCharType="begin"/>
      </w:r>
      <w:r>
        <w:rPr>
          <w:noProof/>
        </w:rPr>
        <w:instrText xml:space="preserve"> PAGEREF _Toc471910779 \h </w:instrText>
      </w:r>
      <w:r>
        <w:rPr>
          <w:noProof/>
        </w:rPr>
      </w:r>
      <w:r>
        <w:rPr>
          <w:noProof/>
        </w:rPr>
        <w:fldChar w:fldCharType="separate"/>
      </w:r>
      <w:r>
        <w:rPr>
          <w:noProof/>
        </w:rPr>
        <w:t>15</w:t>
      </w:r>
      <w:r>
        <w:rPr>
          <w:noProof/>
        </w:rPr>
        <w:fldChar w:fldCharType="end"/>
      </w:r>
    </w:p>
    <w:p w14:paraId="21316F76" w14:textId="77777777" w:rsidR="00DB15E9" w:rsidRDefault="0078312E">
      <w:pPr>
        <w:pStyle w:val="TOC3"/>
        <w:rPr>
          <w:rFonts w:asciiTheme="minorHAnsi" w:eastAsiaTheme="minorEastAsia" w:hAnsiTheme="minorHAnsi" w:cstheme="minorBidi"/>
          <w:noProof/>
          <w:sz w:val="22"/>
        </w:rPr>
      </w:pPr>
      <w:r>
        <w:rPr>
          <w:noProof/>
        </w:rPr>
        <w:t>2.8.5</w:t>
      </w:r>
      <w:r>
        <w:rPr>
          <w:rFonts w:asciiTheme="minorHAnsi" w:eastAsiaTheme="minorEastAsia" w:hAnsiTheme="minorHAnsi" w:cstheme="minorBidi"/>
          <w:noProof/>
          <w:sz w:val="22"/>
        </w:rPr>
        <w:tab/>
      </w:r>
      <w:r>
        <w:rPr>
          <w:noProof/>
        </w:rPr>
        <w:t>Stationary Instrument Mechanisms</w:t>
      </w:r>
      <w:r>
        <w:rPr>
          <w:noProof/>
        </w:rPr>
        <w:tab/>
      </w:r>
      <w:r>
        <w:rPr>
          <w:noProof/>
        </w:rPr>
        <w:fldChar w:fldCharType="begin"/>
      </w:r>
      <w:r>
        <w:rPr>
          <w:noProof/>
        </w:rPr>
        <w:instrText xml:space="preserve"> PAGEREF _Toc471910780 \h </w:instrText>
      </w:r>
      <w:r>
        <w:rPr>
          <w:noProof/>
        </w:rPr>
      </w:r>
      <w:r>
        <w:rPr>
          <w:noProof/>
        </w:rPr>
        <w:fldChar w:fldCharType="separate"/>
      </w:r>
      <w:r>
        <w:rPr>
          <w:noProof/>
        </w:rPr>
        <w:t>16</w:t>
      </w:r>
      <w:r>
        <w:rPr>
          <w:noProof/>
        </w:rPr>
        <w:fldChar w:fldCharType="end"/>
      </w:r>
    </w:p>
    <w:p w14:paraId="008DC289" w14:textId="77777777" w:rsidR="00DB15E9" w:rsidRDefault="0078312E">
      <w:pPr>
        <w:pStyle w:val="TOC3"/>
        <w:rPr>
          <w:rFonts w:asciiTheme="minorHAnsi" w:eastAsiaTheme="minorEastAsia" w:hAnsiTheme="minorHAnsi" w:cstheme="minorBidi"/>
          <w:noProof/>
          <w:sz w:val="22"/>
        </w:rPr>
      </w:pPr>
      <w:r>
        <w:rPr>
          <w:noProof/>
        </w:rPr>
        <w:t>2.8.6</w:t>
      </w:r>
      <w:r>
        <w:rPr>
          <w:rFonts w:asciiTheme="minorHAnsi" w:eastAsiaTheme="minorEastAsia" w:hAnsiTheme="minorHAnsi" w:cstheme="minorBidi"/>
          <w:noProof/>
          <w:sz w:val="22"/>
        </w:rPr>
        <w:tab/>
      </w:r>
      <w:r>
        <w:rPr>
          <w:noProof/>
        </w:rPr>
        <w:t>Moveable Masses</w:t>
      </w:r>
      <w:r>
        <w:rPr>
          <w:noProof/>
        </w:rPr>
        <w:tab/>
      </w:r>
      <w:r>
        <w:rPr>
          <w:noProof/>
        </w:rPr>
        <w:fldChar w:fldCharType="begin"/>
      </w:r>
      <w:r>
        <w:rPr>
          <w:noProof/>
        </w:rPr>
        <w:instrText xml:space="preserve"> PAGEREF _Toc471910781 \h </w:instrText>
      </w:r>
      <w:r>
        <w:rPr>
          <w:noProof/>
        </w:rPr>
      </w:r>
      <w:r>
        <w:rPr>
          <w:noProof/>
        </w:rPr>
        <w:fldChar w:fldCharType="separate"/>
      </w:r>
      <w:r>
        <w:rPr>
          <w:noProof/>
        </w:rPr>
        <w:t>16</w:t>
      </w:r>
      <w:r>
        <w:rPr>
          <w:noProof/>
        </w:rPr>
        <w:fldChar w:fldCharType="end"/>
      </w:r>
    </w:p>
    <w:p w14:paraId="596CABE1" w14:textId="77777777" w:rsidR="00DB15E9" w:rsidRDefault="0078312E">
      <w:pPr>
        <w:pStyle w:val="TOC3"/>
        <w:rPr>
          <w:rFonts w:asciiTheme="minorHAnsi" w:eastAsiaTheme="minorEastAsia" w:hAnsiTheme="minorHAnsi" w:cstheme="minorBidi"/>
          <w:noProof/>
          <w:sz w:val="22"/>
        </w:rPr>
      </w:pPr>
      <w:r>
        <w:rPr>
          <w:noProof/>
        </w:rPr>
        <w:t>2.8.7</w:t>
      </w:r>
      <w:r>
        <w:rPr>
          <w:rFonts w:asciiTheme="minorHAnsi" w:eastAsiaTheme="minorEastAsia" w:hAnsiTheme="minorHAnsi" w:cstheme="minorBidi"/>
          <w:noProof/>
          <w:sz w:val="22"/>
        </w:rPr>
        <w:tab/>
      </w:r>
      <w:r>
        <w:rPr>
          <w:noProof/>
        </w:rPr>
        <w:t>Minimum Fixed-Base Frequency</w:t>
      </w:r>
      <w:r>
        <w:rPr>
          <w:noProof/>
        </w:rPr>
        <w:tab/>
      </w:r>
      <w:r>
        <w:rPr>
          <w:noProof/>
        </w:rPr>
        <w:fldChar w:fldCharType="begin"/>
      </w:r>
      <w:r>
        <w:rPr>
          <w:noProof/>
        </w:rPr>
        <w:instrText xml:space="preserve"> PAGEREF _Toc471910782 \h </w:instrText>
      </w:r>
      <w:r>
        <w:rPr>
          <w:noProof/>
        </w:rPr>
      </w:r>
      <w:r>
        <w:rPr>
          <w:noProof/>
        </w:rPr>
        <w:fldChar w:fldCharType="separate"/>
      </w:r>
      <w:r>
        <w:rPr>
          <w:noProof/>
        </w:rPr>
        <w:t>16</w:t>
      </w:r>
      <w:r>
        <w:rPr>
          <w:noProof/>
        </w:rPr>
        <w:fldChar w:fldCharType="end"/>
      </w:r>
    </w:p>
    <w:p w14:paraId="390AB3BA" w14:textId="77777777" w:rsidR="00DB15E9" w:rsidRDefault="0078312E">
      <w:pPr>
        <w:pStyle w:val="TOC2"/>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t>Thermal Guidelines</w:t>
      </w:r>
      <w:r>
        <w:tab/>
      </w:r>
      <w:r>
        <w:fldChar w:fldCharType="begin"/>
      </w:r>
      <w:r>
        <w:instrText xml:space="preserve"> PAGEREF _Toc471910783 \h </w:instrText>
      </w:r>
      <w:r>
        <w:fldChar w:fldCharType="separate"/>
      </w:r>
      <w:r>
        <w:t>16</w:t>
      </w:r>
      <w:r>
        <w:fldChar w:fldCharType="end"/>
      </w:r>
    </w:p>
    <w:p w14:paraId="6A9DB578" w14:textId="77777777" w:rsidR="00DB15E9" w:rsidRDefault="0078312E">
      <w:pPr>
        <w:pStyle w:val="TOC3"/>
        <w:rPr>
          <w:rFonts w:asciiTheme="minorHAnsi" w:eastAsiaTheme="minorEastAsia" w:hAnsiTheme="minorHAnsi" w:cstheme="minorBidi"/>
          <w:noProof/>
          <w:sz w:val="22"/>
        </w:rPr>
      </w:pPr>
      <w:r>
        <w:rPr>
          <w:noProof/>
        </w:rPr>
        <w:t>2.9.1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_Toc471910784 \h </w:instrText>
      </w:r>
      <w:r>
        <w:rPr>
          <w:noProof/>
        </w:rPr>
      </w:r>
      <w:r>
        <w:rPr>
          <w:noProof/>
        </w:rPr>
        <w:fldChar w:fldCharType="separate"/>
      </w:r>
      <w:r>
        <w:rPr>
          <w:noProof/>
        </w:rPr>
        <w:t>16</w:t>
      </w:r>
      <w:r>
        <w:rPr>
          <w:noProof/>
        </w:rPr>
        <w:fldChar w:fldCharType="end"/>
      </w:r>
    </w:p>
    <w:p w14:paraId="3F47A0B3" w14:textId="77777777" w:rsidR="00DB15E9" w:rsidRDefault="0078312E">
      <w:pPr>
        <w:pStyle w:val="TOC3"/>
        <w:rPr>
          <w:rFonts w:asciiTheme="minorHAnsi" w:eastAsiaTheme="minorEastAsia" w:hAnsiTheme="minorHAnsi" w:cstheme="minorBidi"/>
          <w:noProof/>
          <w:sz w:val="22"/>
        </w:rPr>
      </w:pPr>
      <w:r>
        <w:rPr>
          <w:noProof/>
        </w:rPr>
        <w:t>2.9.2</w:t>
      </w:r>
      <w:r>
        <w:rPr>
          <w:rFonts w:asciiTheme="minorHAnsi" w:eastAsiaTheme="minorEastAsia" w:hAnsiTheme="minorHAnsi" w:cstheme="minorBidi"/>
          <w:noProof/>
          <w:sz w:val="22"/>
        </w:rPr>
        <w:tab/>
      </w:r>
      <w:r>
        <w:rPr>
          <w:noProof/>
        </w:rPr>
        <w:t>Thermal Interface</w:t>
      </w:r>
      <w:r>
        <w:rPr>
          <w:noProof/>
        </w:rPr>
        <w:tab/>
      </w:r>
      <w:r>
        <w:rPr>
          <w:noProof/>
        </w:rPr>
        <w:fldChar w:fldCharType="begin"/>
      </w:r>
      <w:r>
        <w:rPr>
          <w:noProof/>
        </w:rPr>
        <w:instrText xml:space="preserve"> PAGEREF _Toc471910785 \h </w:instrText>
      </w:r>
      <w:r>
        <w:rPr>
          <w:noProof/>
        </w:rPr>
      </w:r>
      <w:r>
        <w:rPr>
          <w:noProof/>
        </w:rPr>
        <w:fldChar w:fldCharType="separate"/>
      </w:r>
      <w:r>
        <w:rPr>
          <w:noProof/>
        </w:rPr>
        <w:t>17</w:t>
      </w:r>
      <w:r>
        <w:rPr>
          <w:noProof/>
        </w:rPr>
        <w:fldChar w:fldCharType="end"/>
      </w:r>
    </w:p>
    <w:p w14:paraId="39ECC047" w14:textId="77777777" w:rsidR="00DB15E9" w:rsidRDefault="0078312E">
      <w:pPr>
        <w:pStyle w:val="TOC3"/>
        <w:rPr>
          <w:rFonts w:asciiTheme="minorHAnsi" w:eastAsiaTheme="minorEastAsia" w:hAnsiTheme="minorHAnsi" w:cstheme="minorBidi"/>
          <w:noProof/>
          <w:sz w:val="22"/>
        </w:rPr>
      </w:pPr>
      <w:r>
        <w:rPr>
          <w:noProof/>
        </w:rPr>
        <w:t>2.9.3</w:t>
      </w:r>
      <w:r>
        <w:rPr>
          <w:rFonts w:asciiTheme="minorHAnsi" w:eastAsiaTheme="minorEastAsia" w:hAnsiTheme="minorHAnsi" w:cstheme="minorBidi"/>
          <w:noProof/>
          <w:sz w:val="22"/>
        </w:rPr>
        <w:tab/>
      </w:r>
      <w:r>
        <w:rPr>
          <w:noProof/>
        </w:rPr>
        <w:t>Thermal Design at the Mechanical Interface</w:t>
      </w:r>
      <w:r>
        <w:rPr>
          <w:noProof/>
        </w:rPr>
        <w:tab/>
      </w:r>
      <w:r>
        <w:rPr>
          <w:noProof/>
        </w:rPr>
        <w:fldChar w:fldCharType="begin"/>
      </w:r>
      <w:r>
        <w:rPr>
          <w:noProof/>
        </w:rPr>
        <w:instrText xml:space="preserve"> PAGEREF _Toc471910786 \h </w:instrText>
      </w:r>
      <w:r>
        <w:rPr>
          <w:noProof/>
        </w:rPr>
      </w:r>
      <w:r>
        <w:rPr>
          <w:noProof/>
        </w:rPr>
        <w:fldChar w:fldCharType="separate"/>
      </w:r>
      <w:r>
        <w:rPr>
          <w:noProof/>
        </w:rPr>
        <w:t>17</w:t>
      </w:r>
      <w:r>
        <w:rPr>
          <w:noProof/>
        </w:rPr>
        <w:fldChar w:fldCharType="end"/>
      </w:r>
    </w:p>
    <w:p w14:paraId="4A99480C" w14:textId="77777777" w:rsidR="00DB15E9" w:rsidRDefault="0078312E">
      <w:pPr>
        <w:pStyle w:val="TOC3"/>
        <w:rPr>
          <w:rFonts w:asciiTheme="minorHAnsi" w:eastAsiaTheme="minorEastAsia" w:hAnsiTheme="minorHAnsi" w:cstheme="minorBidi"/>
          <w:noProof/>
          <w:sz w:val="22"/>
        </w:rPr>
      </w:pPr>
      <w:r>
        <w:rPr>
          <w:noProof/>
        </w:rPr>
        <w:t>2.9.4</w:t>
      </w:r>
      <w:r>
        <w:rPr>
          <w:rFonts w:asciiTheme="minorHAnsi" w:eastAsiaTheme="minorEastAsia" w:hAnsiTheme="minorHAnsi" w:cstheme="minorBidi"/>
          <w:noProof/>
          <w:sz w:val="22"/>
        </w:rPr>
        <w:tab/>
      </w:r>
      <w:r>
        <w:rPr>
          <w:noProof/>
        </w:rPr>
        <w:t>Conductive Heat Transfer</w:t>
      </w:r>
      <w:r>
        <w:rPr>
          <w:noProof/>
        </w:rPr>
        <w:tab/>
      </w:r>
      <w:r>
        <w:rPr>
          <w:noProof/>
        </w:rPr>
        <w:fldChar w:fldCharType="begin"/>
      </w:r>
      <w:r>
        <w:rPr>
          <w:noProof/>
        </w:rPr>
        <w:instrText xml:space="preserve"> PAGEREF _Toc471910787 \h </w:instrText>
      </w:r>
      <w:r>
        <w:rPr>
          <w:noProof/>
        </w:rPr>
      </w:r>
      <w:r>
        <w:rPr>
          <w:noProof/>
        </w:rPr>
        <w:fldChar w:fldCharType="separate"/>
      </w:r>
      <w:r>
        <w:rPr>
          <w:noProof/>
        </w:rPr>
        <w:t>17</w:t>
      </w:r>
      <w:r>
        <w:rPr>
          <w:noProof/>
        </w:rPr>
        <w:fldChar w:fldCharType="end"/>
      </w:r>
    </w:p>
    <w:p w14:paraId="756DCF8B" w14:textId="77777777" w:rsidR="00DB15E9" w:rsidRDefault="0078312E">
      <w:pPr>
        <w:pStyle w:val="TOC3"/>
        <w:rPr>
          <w:rFonts w:asciiTheme="minorHAnsi" w:eastAsiaTheme="minorEastAsia" w:hAnsiTheme="minorHAnsi" w:cstheme="minorBidi"/>
          <w:noProof/>
          <w:sz w:val="22"/>
        </w:rPr>
      </w:pPr>
      <w:r>
        <w:rPr>
          <w:noProof/>
        </w:rPr>
        <w:t>2.9.5</w:t>
      </w:r>
      <w:r>
        <w:rPr>
          <w:rFonts w:asciiTheme="minorHAnsi" w:eastAsiaTheme="minorEastAsia" w:hAnsiTheme="minorHAnsi" w:cstheme="minorBidi"/>
          <w:noProof/>
          <w:sz w:val="22"/>
        </w:rPr>
        <w:tab/>
      </w:r>
      <w:r>
        <w:rPr>
          <w:noProof/>
        </w:rPr>
        <w:t>Radiative Heat Transfer</w:t>
      </w:r>
      <w:r>
        <w:rPr>
          <w:noProof/>
        </w:rPr>
        <w:tab/>
      </w:r>
      <w:r>
        <w:rPr>
          <w:noProof/>
        </w:rPr>
        <w:fldChar w:fldCharType="begin"/>
      </w:r>
      <w:r>
        <w:rPr>
          <w:noProof/>
        </w:rPr>
        <w:instrText xml:space="preserve"> PAGEREF _Toc471910788 \h </w:instrText>
      </w:r>
      <w:r>
        <w:rPr>
          <w:noProof/>
        </w:rPr>
      </w:r>
      <w:r>
        <w:rPr>
          <w:noProof/>
        </w:rPr>
        <w:fldChar w:fldCharType="separate"/>
      </w:r>
      <w:r>
        <w:rPr>
          <w:noProof/>
        </w:rPr>
        <w:t>17</w:t>
      </w:r>
      <w:r>
        <w:rPr>
          <w:noProof/>
        </w:rPr>
        <w:fldChar w:fldCharType="end"/>
      </w:r>
    </w:p>
    <w:p w14:paraId="10C009E0" w14:textId="77777777" w:rsidR="00DB15E9" w:rsidRDefault="0078312E">
      <w:pPr>
        <w:pStyle w:val="TOC3"/>
        <w:rPr>
          <w:rFonts w:asciiTheme="minorHAnsi" w:eastAsiaTheme="minorEastAsia" w:hAnsiTheme="minorHAnsi" w:cstheme="minorBidi"/>
          <w:noProof/>
          <w:sz w:val="22"/>
        </w:rPr>
      </w:pPr>
      <w:r>
        <w:rPr>
          <w:noProof/>
        </w:rPr>
        <w:t>2.9.6</w:t>
      </w:r>
      <w:r>
        <w:rPr>
          <w:rFonts w:asciiTheme="minorHAnsi" w:eastAsiaTheme="minorEastAsia" w:hAnsiTheme="minorHAnsi" w:cstheme="minorBidi"/>
          <w:noProof/>
          <w:sz w:val="22"/>
        </w:rPr>
        <w:tab/>
      </w:r>
      <w:r>
        <w:rPr>
          <w:noProof/>
        </w:rPr>
        <w:t>Temperature Maintenance Responsibility</w:t>
      </w:r>
      <w:r>
        <w:rPr>
          <w:noProof/>
        </w:rPr>
        <w:tab/>
      </w:r>
      <w:r>
        <w:rPr>
          <w:noProof/>
        </w:rPr>
        <w:fldChar w:fldCharType="begin"/>
      </w:r>
      <w:r>
        <w:rPr>
          <w:noProof/>
        </w:rPr>
        <w:instrText xml:space="preserve"> PAGEREF _Toc471910789 \h </w:instrText>
      </w:r>
      <w:r>
        <w:rPr>
          <w:noProof/>
        </w:rPr>
      </w:r>
      <w:r>
        <w:rPr>
          <w:noProof/>
        </w:rPr>
        <w:fldChar w:fldCharType="separate"/>
      </w:r>
      <w:r>
        <w:rPr>
          <w:noProof/>
        </w:rPr>
        <w:t>19</w:t>
      </w:r>
      <w:r>
        <w:rPr>
          <w:noProof/>
        </w:rPr>
        <w:fldChar w:fldCharType="end"/>
      </w:r>
    </w:p>
    <w:p w14:paraId="32478BF3" w14:textId="77777777" w:rsidR="00DB15E9" w:rsidRDefault="0078312E">
      <w:pPr>
        <w:pStyle w:val="TOC3"/>
        <w:rPr>
          <w:rFonts w:asciiTheme="minorHAnsi" w:eastAsiaTheme="minorEastAsia" w:hAnsiTheme="minorHAnsi" w:cstheme="minorBidi"/>
          <w:noProof/>
          <w:sz w:val="22"/>
        </w:rPr>
      </w:pPr>
      <w:r>
        <w:rPr>
          <w:noProof/>
        </w:rPr>
        <w:t>2.9.7</w:t>
      </w:r>
      <w:r>
        <w:rPr>
          <w:rFonts w:asciiTheme="minorHAnsi" w:eastAsiaTheme="minorEastAsia" w:hAnsiTheme="minorHAnsi" w:cstheme="minorBidi"/>
          <w:noProof/>
          <w:sz w:val="22"/>
        </w:rPr>
        <w:tab/>
      </w:r>
      <w:r>
        <w:rPr>
          <w:noProof/>
        </w:rPr>
        <w:t>Instrument Allowable Temperatures</w:t>
      </w:r>
      <w:r>
        <w:rPr>
          <w:noProof/>
        </w:rPr>
        <w:tab/>
      </w:r>
      <w:r>
        <w:rPr>
          <w:noProof/>
        </w:rPr>
        <w:fldChar w:fldCharType="begin"/>
      </w:r>
      <w:r>
        <w:rPr>
          <w:noProof/>
        </w:rPr>
        <w:instrText xml:space="preserve"> PAGEREF _Toc471910790 \h </w:instrText>
      </w:r>
      <w:r>
        <w:rPr>
          <w:noProof/>
        </w:rPr>
      </w:r>
      <w:r>
        <w:rPr>
          <w:noProof/>
        </w:rPr>
        <w:fldChar w:fldCharType="separate"/>
      </w:r>
      <w:r>
        <w:rPr>
          <w:noProof/>
        </w:rPr>
        <w:t>19</w:t>
      </w:r>
      <w:r>
        <w:rPr>
          <w:noProof/>
        </w:rPr>
        <w:fldChar w:fldCharType="end"/>
      </w:r>
    </w:p>
    <w:p w14:paraId="7DD0BE3E" w14:textId="77777777" w:rsidR="00DB15E9" w:rsidRDefault="0078312E">
      <w:pPr>
        <w:pStyle w:val="TOC3"/>
        <w:rPr>
          <w:rFonts w:asciiTheme="minorHAnsi" w:eastAsiaTheme="minorEastAsia" w:hAnsiTheme="minorHAnsi" w:cstheme="minorBidi"/>
          <w:noProof/>
          <w:sz w:val="22"/>
        </w:rPr>
      </w:pPr>
      <w:r>
        <w:rPr>
          <w:noProof/>
        </w:rPr>
        <w:t>2.9.8</w:t>
      </w:r>
      <w:r>
        <w:rPr>
          <w:rFonts w:asciiTheme="minorHAnsi" w:eastAsiaTheme="minorEastAsia" w:hAnsiTheme="minorHAnsi" w:cstheme="minorBidi"/>
          <w:noProof/>
          <w:sz w:val="22"/>
        </w:rPr>
        <w:tab/>
      </w:r>
      <w:r>
        <w:rPr>
          <w:noProof/>
        </w:rPr>
        <w:t>Thermal Control Hardware Responsibility</w:t>
      </w:r>
      <w:r>
        <w:rPr>
          <w:noProof/>
        </w:rPr>
        <w:tab/>
      </w:r>
      <w:r>
        <w:rPr>
          <w:noProof/>
        </w:rPr>
        <w:fldChar w:fldCharType="begin"/>
      </w:r>
      <w:r>
        <w:rPr>
          <w:noProof/>
        </w:rPr>
        <w:instrText xml:space="preserve"> PAGEREF _Toc471910791 \h </w:instrText>
      </w:r>
      <w:r>
        <w:rPr>
          <w:noProof/>
        </w:rPr>
      </w:r>
      <w:r>
        <w:rPr>
          <w:noProof/>
        </w:rPr>
        <w:fldChar w:fldCharType="separate"/>
      </w:r>
      <w:r>
        <w:rPr>
          <w:noProof/>
        </w:rPr>
        <w:t>19</w:t>
      </w:r>
      <w:r>
        <w:rPr>
          <w:noProof/>
        </w:rPr>
        <w:fldChar w:fldCharType="end"/>
      </w:r>
    </w:p>
    <w:p w14:paraId="4C1F4FFA" w14:textId="77777777" w:rsidR="00DB15E9" w:rsidRDefault="0078312E">
      <w:pPr>
        <w:pStyle w:val="TOC2"/>
        <w:rPr>
          <w:rFonts w:asciiTheme="minorHAnsi" w:eastAsiaTheme="minorEastAsia" w:hAnsiTheme="minorHAnsi" w:cstheme="minorBidi"/>
          <w:sz w:val="22"/>
          <w:szCs w:val="22"/>
        </w:rPr>
      </w:pPr>
      <w:r>
        <w:t>2.10</w:t>
      </w:r>
      <w:r>
        <w:rPr>
          <w:rFonts w:asciiTheme="minorHAnsi" w:eastAsiaTheme="minorEastAsia" w:hAnsiTheme="minorHAnsi" w:cstheme="minorBidi"/>
          <w:sz w:val="22"/>
          <w:szCs w:val="22"/>
        </w:rPr>
        <w:tab/>
      </w:r>
      <w:r>
        <w:t>Instrument Models</w:t>
      </w:r>
      <w:r>
        <w:tab/>
      </w:r>
      <w:r>
        <w:fldChar w:fldCharType="begin"/>
      </w:r>
      <w:r>
        <w:instrText xml:space="preserve"> PAGEREF _Toc471910792 \h </w:instrText>
      </w:r>
      <w:r>
        <w:fldChar w:fldCharType="separate"/>
      </w:r>
      <w:r>
        <w:t>19</w:t>
      </w:r>
      <w:r>
        <w:fldChar w:fldCharType="end"/>
      </w:r>
    </w:p>
    <w:p w14:paraId="684C029C" w14:textId="77777777" w:rsidR="00DB15E9" w:rsidRDefault="0078312E">
      <w:pPr>
        <w:pStyle w:val="TOC2"/>
        <w:rPr>
          <w:rFonts w:asciiTheme="minorHAnsi" w:eastAsiaTheme="minorEastAsia" w:hAnsiTheme="minorHAnsi" w:cstheme="minorBidi"/>
          <w:sz w:val="22"/>
          <w:szCs w:val="22"/>
        </w:rPr>
      </w:pPr>
      <w:r>
        <w:t>2.11</w:t>
      </w:r>
      <w:r>
        <w:rPr>
          <w:rFonts w:asciiTheme="minorHAnsi" w:eastAsiaTheme="minorEastAsia" w:hAnsiTheme="minorHAnsi" w:cstheme="minorBidi"/>
          <w:sz w:val="22"/>
          <w:szCs w:val="22"/>
        </w:rPr>
        <w:tab/>
      </w:r>
      <w:r>
        <w:t>Environmental Guidelines</w:t>
      </w:r>
      <w:r>
        <w:tab/>
      </w:r>
      <w:r>
        <w:fldChar w:fldCharType="begin"/>
      </w:r>
      <w:r>
        <w:instrText xml:space="preserve"> PAGEREF _Toc471910793 \h </w:instrText>
      </w:r>
      <w:r>
        <w:fldChar w:fldCharType="separate"/>
      </w:r>
      <w:r>
        <w:t>19</w:t>
      </w:r>
      <w:r>
        <w:fldChar w:fldCharType="end"/>
      </w:r>
    </w:p>
    <w:p w14:paraId="470CFDE0" w14:textId="77777777" w:rsidR="00DB15E9" w:rsidRDefault="0078312E">
      <w:pPr>
        <w:pStyle w:val="TOC3"/>
        <w:rPr>
          <w:rFonts w:asciiTheme="minorHAnsi" w:eastAsiaTheme="minorEastAsia" w:hAnsiTheme="minorHAnsi" w:cstheme="minorBidi"/>
          <w:noProof/>
          <w:sz w:val="22"/>
        </w:rPr>
      </w:pPr>
      <w:r>
        <w:rPr>
          <w:noProof/>
        </w:rPr>
        <w:t>2.11.1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_Toc471910794 \h </w:instrText>
      </w:r>
      <w:r>
        <w:rPr>
          <w:noProof/>
        </w:rPr>
      </w:r>
      <w:r>
        <w:rPr>
          <w:noProof/>
        </w:rPr>
        <w:fldChar w:fldCharType="separate"/>
      </w:r>
      <w:r>
        <w:rPr>
          <w:noProof/>
        </w:rPr>
        <w:t>19</w:t>
      </w:r>
      <w:r>
        <w:rPr>
          <w:noProof/>
        </w:rPr>
        <w:fldChar w:fldCharType="end"/>
      </w:r>
    </w:p>
    <w:p w14:paraId="58746718" w14:textId="77777777" w:rsidR="00DB15E9" w:rsidRDefault="0078312E">
      <w:pPr>
        <w:pStyle w:val="TOC3"/>
        <w:rPr>
          <w:rFonts w:asciiTheme="minorHAnsi" w:eastAsiaTheme="minorEastAsia" w:hAnsiTheme="minorHAnsi" w:cstheme="minorBidi"/>
          <w:noProof/>
          <w:sz w:val="22"/>
        </w:rPr>
      </w:pPr>
      <w:r>
        <w:rPr>
          <w:noProof/>
        </w:rPr>
        <w:t>2.11.2</w:t>
      </w:r>
      <w:r>
        <w:rPr>
          <w:rFonts w:asciiTheme="minorHAnsi" w:eastAsiaTheme="minorEastAsia" w:hAnsiTheme="minorHAnsi" w:cstheme="minorBidi"/>
          <w:noProof/>
          <w:sz w:val="22"/>
        </w:rPr>
        <w:tab/>
      </w:r>
      <w:r>
        <w:rPr>
          <w:noProof/>
        </w:rPr>
        <w:t>Shipping/Storage Environment</w:t>
      </w:r>
      <w:r>
        <w:rPr>
          <w:noProof/>
        </w:rPr>
        <w:tab/>
      </w:r>
      <w:r>
        <w:rPr>
          <w:noProof/>
        </w:rPr>
        <w:fldChar w:fldCharType="begin"/>
      </w:r>
      <w:r>
        <w:rPr>
          <w:noProof/>
        </w:rPr>
        <w:instrText xml:space="preserve"> PAGEREF _Toc471910795 \h </w:instrText>
      </w:r>
      <w:r>
        <w:rPr>
          <w:noProof/>
        </w:rPr>
      </w:r>
      <w:r>
        <w:rPr>
          <w:noProof/>
        </w:rPr>
        <w:fldChar w:fldCharType="separate"/>
      </w:r>
      <w:r>
        <w:rPr>
          <w:noProof/>
        </w:rPr>
        <w:t>19</w:t>
      </w:r>
      <w:r>
        <w:rPr>
          <w:noProof/>
        </w:rPr>
        <w:fldChar w:fldCharType="end"/>
      </w:r>
    </w:p>
    <w:p w14:paraId="04A3F311" w14:textId="77777777" w:rsidR="00DB15E9" w:rsidRDefault="0078312E">
      <w:pPr>
        <w:pStyle w:val="TOC4"/>
        <w:rPr>
          <w:rFonts w:asciiTheme="minorHAnsi" w:eastAsiaTheme="minorEastAsia" w:hAnsiTheme="minorHAnsi" w:cstheme="minorBidi"/>
          <w:noProof/>
          <w:sz w:val="22"/>
          <w:szCs w:val="22"/>
        </w:rPr>
      </w:pPr>
      <w:r>
        <w:rPr>
          <w:noProof/>
        </w:rPr>
        <w:t>2.11.2.1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_Toc471910796 \h </w:instrText>
      </w:r>
      <w:r>
        <w:rPr>
          <w:noProof/>
        </w:rPr>
      </w:r>
      <w:r>
        <w:rPr>
          <w:noProof/>
        </w:rPr>
        <w:fldChar w:fldCharType="separate"/>
      </w:r>
      <w:r>
        <w:rPr>
          <w:noProof/>
        </w:rPr>
        <w:t>21</w:t>
      </w:r>
      <w:r>
        <w:rPr>
          <w:noProof/>
        </w:rPr>
        <w:fldChar w:fldCharType="end"/>
      </w:r>
    </w:p>
    <w:p w14:paraId="20B08382" w14:textId="77777777" w:rsidR="00DB15E9" w:rsidRDefault="0078312E">
      <w:pPr>
        <w:pStyle w:val="TOC4"/>
        <w:rPr>
          <w:rFonts w:asciiTheme="minorHAnsi" w:eastAsiaTheme="minorEastAsia" w:hAnsiTheme="minorHAnsi" w:cstheme="minorBidi"/>
          <w:noProof/>
          <w:sz w:val="22"/>
          <w:szCs w:val="22"/>
        </w:rPr>
      </w:pPr>
      <w:r>
        <w:rPr>
          <w:noProof/>
        </w:rPr>
        <w:t>2.11.2.2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_Toc471910797 \h </w:instrText>
      </w:r>
      <w:r>
        <w:rPr>
          <w:noProof/>
        </w:rPr>
      </w:r>
      <w:r>
        <w:rPr>
          <w:noProof/>
        </w:rPr>
        <w:fldChar w:fldCharType="separate"/>
      </w:r>
      <w:r>
        <w:rPr>
          <w:noProof/>
        </w:rPr>
        <w:t>21</w:t>
      </w:r>
      <w:r>
        <w:rPr>
          <w:noProof/>
        </w:rPr>
        <w:fldChar w:fldCharType="end"/>
      </w:r>
    </w:p>
    <w:p w14:paraId="2EB1CBC6" w14:textId="77777777" w:rsidR="00DB15E9" w:rsidRDefault="0078312E">
      <w:pPr>
        <w:pStyle w:val="TOC3"/>
        <w:rPr>
          <w:rFonts w:asciiTheme="minorHAnsi" w:eastAsiaTheme="minorEastAsia" w:hAnsiTheme="minorHAnsi" w:cstheme="minorBidi"/>
          <w:noProof/>
          <w:sz w:val="22"/>
        </w:rPr>
      </w:pPr>
      <w:r>
        <w:rPr>
          <w:noProof/>
        </w:rPr>
        <w:t>2.11.3</w:t>
      </w:r>
      <w:r>
        <w:rPr>
          <w:rFonts w:asciiTheme="minorHAnsi" w:eastAsiaTheme="minorEastAsia" w:hAnsiTheme="minorHAnsi" w:cstheme="minorBidi"/>
          <w:noProof/>
          <w:sz w:val="22"/>
        </w:rPr>
        <w:tab/>
      </w:r>
      <w:r>
        <w:rPr>
          <w:noProof/>
        </w:rPr>
        <w:t>Integration and Test Environment</w:t>
      </w:r>
      <w:r>
        <w:rPr>
          <w:noProof/>
        </w:rPr>
        <w:tab/>
      </w:r>
      <w:r>
        <w:rPr>
          <w:noProof/>
        </w:rPr>
        <w:fldChar w:fldCharType="begin"/>
      </w:r>
      <w:r>
        <w:rPr>
          <w:noProof/>
        </w:rPr>
        <w:instrText xml:space="preserve"> PAGEREF _Toc471910798 \h </w:instrText>
      </w:r>
      <w:r>
        <w:rPr>
          <w:noProof/>
        </w:rPr>
      </w:r>
      <w:r>
        <w:rPr>
          <w:noProof/>
        </w:rPr>
        <w:fldChar w:fldCharType="separate"/>
      </w:r>
      <w:r>
        <w:rPr>
          <w:noProof/>
        </w:rPr>
        <w:t>21</w:t>
      </w:r>
      <w:r>
        <w:rPr>
          <w:noProof/>
        </w:rPr>
        <w:fldChar w:fldCharType="end"/>
      </w:r>
    </w:p>
    <w:p w14:paraId="75E33196" w14:textId="77777777" w:rsidR="00DB15E9" w:rsidRDefault="0078312E">
      <w:pPr>
        <w:pStyle w:val="TOC4"/>
        <w:rPr>
          <w:rFonts w:asciiTheme="minorHAnsi" w:eastAsiaTheme="minorEastAsia" w:hAnsiTheme="minorHAnsi" w:cstheme="minorBidi"/>
          <w:noProof/>
          <w:sz w:val="22"/>
          <w:szCs w:val="22"/>
        </w:rPr>
      </w:pPr>
      <w:r>
        <w:rPr>
          <w:noProof/>
        </w:rPr>
        <w:t>2.11.3.1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_Toc471910799 \h </w:instrText>
      </w:r>
      <w:r>
        <w:rPr>
          <w:noProof/>
        </w:rPr>
      </w:r>
      <w:r>
        <w:rPr>
          <w:noProof/>
        </w:rPr>
        <w:fldChar w:fldCharType="separate"/>
      </w:r>
      <w:r>
        <w:rPr>
          <w:noProof/>
        </w:rPr>
        <w:t>22</w:t>
      </w:r>
      <w:r>
        <w:rPr>
          <w:noProof/>
        </w:rPr>
        <w:fldChar w:fldCharType="end"/>
      </w:r>
    </w:p>
    <w:p w14:paraId="27F22C59" w14:textId="77777777" w:rsidR="00DB15E9" w:rsidRDefault="0078312E">
      <w:pPr>
        <w:pStyle w:val="TOC4"/>
        <w:rPr>
          <w:rFonts w:asciiTheme="minorHAnsi" w:eastAsiaTheme="minorEastAsia" w:hAnsiTheme="minorHAnsi" w:cstheme="minorBidi"/>
          <w:noProof/>
          <w:sz w:val="22"/>
          <w:szCs w:val="22"/>
        </w:rPr>
      </w:pPr>
      <w:r>
        <w:rPr>
          <w:noProof/>
        </w:rPr>
        <w:t>2.11.3.2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_Toc471910800 \h </w:instrText>
      </w:r>
      <w:r>
        <w:rPr>
          <w:noProof/>
        </w:rPr>
      </w:r>
      <w:r>
        <w:rPr>
          <w:noProof/>
        </w:rPr>
        <w:fldChar w:fldCharType="separate"/>
      </w:r>
      <w:r>
        <w:rPr>
          <w:noProof/>
        </w:rPr>
        <w:t>22</w:t>
      </w:r>
      <w:r>
        <w:rPr>
          <w:noProof/>
        </w:rPr>
        <w:fldChar w:fldCharType="end"/>
      </w:r>
    </w:p>
    <w:p w14:paraId="109C18B1" w14:textId="77777777" w:rsidR="00DB15E9" w:rsidRDefault="0078312E">
      <w:pPr>
        <w:pStyle w:val="TOC3"/>
        <w:rPr>
          <w:rFonts w:asciiTheme="minorHAnsi" w:eastAsiaTheme="minorEastAsia" w:hAnsiTheme="minorHAnsi" w:cstheme="minorBidi"/>
          <w:noProof/>
          <w:sz w:val="22"/>
        </w:rPr>
      </w:pPr>
      <w:r>
        <w:rPr>
          <w:noProof/>
        </w:rPr>
        <w:t>2.11.4</w:t>
      </w:r>
      <w:r>
        <w:rPr>
          <w:rFonts w:asciiTheme="minorHAnsi" w:eastAsiaTheme="minorEastAsia" w:hAnsiTheme="minorHAnsi" w:cstheme="minorBidi"/>
          <w:noProof/>
          <w:sz w:val="22"/>
        </w:rPr>
        <w:tab/>
      </w:r>
      <w:r>
        <w:rPr>
          <w:noProof/>
        </w:rPr>
        <w:t>Launch Environment</w:t>
      </w:r>
      <w:r>
        <w:rPr>
          <w:noProof/>
        </w:rPr>
        <w:tab/>
      </w:r>
      <w:r>
        <w:rPr>
          <w:noProof/>
        </w:rPr>
        <w:fldChar w:fldCharType="begin"/>
      </w:r>
      <w:r>
        <w:rPr>
          <w:noProof/>
        </w:rPr>
        <w:instrText xml:space="preserve"> PAGEREF _Toc471910801 \h </w:instrText>
      </w:r>
      <w:r>
        <w:rPr>
          <w:noProof/>
        </w:rPr>
      </w:r>
      <w:r>
        <w:rPr>
          <w:noProof/>
        </w:rPr>
        <w:fldChar w:fldCharType="separate"/>
      </w:r>
      <w:r>
        <w:rPr>
          <w:noProof/>
        </w:rPr>
        <w:t>23</w:t>
      </w:r>
      <w:r>
        <w:rPr>
          <w:noProof/>
        </w:rPr>
        <w:fldChar w:fldCharType="end"/>
      </w:r>
    </w:p>
    <w:p w14:paraId="4F6C0748" w14:textId="77777777" w:rsidR="00DB15E9" w:rsidRDefault="0078312E">
      <w:pPr>
        <w:pStyle w:val="TOC4"/>
        <w:rPr>
          <w:rFonts w:asciiTheme="minorHAnsi" w:eastAsiaTheme="minorEastAsia" w:hAnsiTheme="minorHAnsi" w:cstheme="minorBidi"/>
          <w:noProof/>
          <w:sz w:val="22"/>
          <w:szCs w:val="22"/>
        </w:rPr>
      </w:pPr>
      <w:r>
        <w:rPr>
          <w:noProof/>
        </w:rPr>
        <w:t>2.11.4.1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_Toc471910802 \h </w:instrText>
      </w:r>
      <w:r>
        <w:rPr>
          <w:noProof/>
        </w:rPr>
      </w:r>
      <w:r>
        <w:rPr>
          <w:noProof/>
        </w:rPr>
        <w:fldChar w:fldCharType="separate"/>
      </w:r>
      <w:r>
        <w:rPr>
          <w:noProof/>
        </w:rPr>
        <w:t>23</w:t>
      </w:r>
      <w:r>
        <w:rPr>
          <w:noProof/>
        </w:rPr>
        <w:fldChar w:fldCharType="end"/>
      </w:r>
    </w:p>
    <w:p w14:paraId="7E602BD8" w14:textId="77777777" w:rsidR="00DB15E9" w:rsidRDefault="0078312E">
      <w:pPr>
        <w:pStyle w:val="TOC4"/>
        <w:rPr>
          <w:rFonts w:asciiTheme="minorHAnsi" w:eastAsiaTheme="minorEastAsia" w:hAnsiTheme="minorHAnsi" w:cstheme="minorBidi"/>
          <w:noProof/>
          <w:sz w:val="22"/>
          <w:szCs w:val="22"/>
        </w:rPr>
      </w:pPr>
      <w:r>
        <w:rPr>
          <w:noProof/>
        </w:rPr>
        <w:t>2.11.4.2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_Toc471910803 \h </w:instrText>
      </w:r>
      <w:r>
        <w:rPr>
          <w:noProof/>
        </w:rPr>
      </w:r>
      <w:r>
        <w:rPr>
          <w:noProof/>
        </w:rPr>
        <w:fldChar w:fldCharType="separate"/>
      </w:r>
      <w:r>
        <w:rPr>
          <w:noProof/>
        </w:rPr>
        <w:t>24</w:t>
      </w:r>
      <w:r>
        <w:rPr>
          <w:noProof/>
        </w:rPr>
        <w:fldChar w:fldCharType="end"/>
      </w:r>
    </w:p>
    <w:p w14:paraId="4A7F03BD" w14:textId="77777777" w:rsidR="00DB15E9" w:rsidRDefault="0078312E">
      <w:pPr>
        <w:pStyle w:val="TOC4"/>
        <w:rPr>
          <w:rFonts w:asciiTheme="minorHAnsi" w:eastAsiaTheme="minorEastAsia" w:hAnsiTheme="minorHAnsi" w:cstheme="minorBidi"/>
          <w:noProof/>
          <w:sz w:val="22"/>
          <w:szCs w:val="22"/>
        </w:rPr>
      </w:pPr>
      <w:r>
        <w:rPr>
          <w:noProof/>
        </w:rPr>
        <w:t>2.11.4.3</w:t>
      </w:r>
      <w:r>
        <w:rPr>
          <w:rFonts w:asciiTheme="minorHAnsi" w:eastAsiaTheme="minorEastAsia" w:hAnsiTheme="minorHAnsi" w:cstheme="minorBidi"/>
          <w:noProof/>
          <w:sz w:val="22"/>
          <w:szCs w:val="22"/>
        </w:rPr>
        <w:tab/>
      </w:r>
      <w:r>
        <w:rPr>
          <w:noProof/>
        </w:rPr>
        <w:t>Launch Pressure Profile</w:t>
      </w:r>
      <w:r>
        <w:rPr>
          <w:noProof/>
        </w:rPr>
        <w:tab/>
      </w:r>
      <w:r>
        <w:rPr>
          <w:noProof/>
        </w:rPr>
        <w:fldChar w:fldCharType="begin"/>
      </w:r>
      <w:r>
        <w:rPr>
          <w:noProof/>
        </w:rPr>
        <w:instrText xml:space="preserve"> PAGEREF _Toc471910804 \h </w:instrText>
      </w:r>
      <w:r>
        <w:rPr>
          <w:noProof/>
        </w:rPr>
      </w:r>
      <w:r>
        <w:rPr>
          <w:noProof/>
        </w:rPr>
        <w:fldChar w:fldCharType="separate"/>
      </w:r>
      <w:r>
        <w:rPr>
          <w:noProof/>
        </w:rPr>
        <w:t>24</w:t>
      </w:r>
      <w:r>
        <w:rPr>
          <w:noProof/>
        </w:rPr>
        <w:fldChar w:fldCharType="end"/>
      </w:r>
    </w:p>
    <w:p w14:paraId="05BF56AF" w14:textId="77777777" w:rsidR="00DB15E9" w:rsidRDefault="0078312E">
      <w:pPr>
        <w:pStyle w:val="TOC4"/>
        <w:rPr>
          <w:rFonts w:asciiTheme="minorHAnsi" w:eastAsiaTheme="minorEastAsia" w:hAnsiTheme="minorHAnsi" w:cstheme="minorBidi"/>
          <w:noProof/>
          <w:sz w:val="22"/>
          <w:szCs w:val="22"/>
        </w:rPr>
      </w:pPr>
      <w:r>
        <w:rPr>
          <w:noProof/>
        </w:rPr>
        <w:t>2.11.4.4</w:t>
      </w:r>
      <w:r>
        <w:rPr>
          <w:rFonts w:asciiTheme="minorHAnsi" w:eastAsiaTheme="minorEastAsia" w:hAnsiTheme="minorHAnsi" w:cstheme="minorBidi"/>
          <w:noProof/>
          <w:sz w:val="22"/>
          <w:szCs w:val="22"/>
        </w:rPr>
        <w:tab/>
      </w:r>
      <w:r>
        <w:rPr>
          <w:noProof/>
        </w:rPr>
        <w:t>Quasi-static Acceleration</w:t>
      </w:r>
      <w:r>
        <w:rPr>
          <w:noProof/>
        </w:rPr>
        <w:tab/>
      </w:r>
      <w:r>
        <w:rPr>
          <w:noProof/>
        </w:rPr>
        <w:fldChar w:fldCharType="begin"/>
      </w:r>
      <w:r>
        <w:rPr>
          <w:noProof/>
        </w:rPr>
        <w:instrText xml:space="preserve"> PAGEREF _Toc471910805 \h </w:instrText>
      </w:r>
      <w:r>
        <w:rPr>
          <w:noProof/>
        </w:rPr>
      </w:r>
      <w:r>
        <w:rPr>
          <w:noProof/>
        </w:rPr>
        <w:fldChar w:fldCharType="separate"/>
      </w:r>
      <w:r>
        <w:rPr>
          <w:noProof/>
        </w:rPr>
        <w:t>24</w:t>
      </w:r>
      <w:r>
        <w:rPr>
          <w:noProof/>
        </w:rPr>
        <w:fldChar w:fldCharType="end"/>
      </w:r>
    </w:p>
    <w:p w14:paraId="186D3611" w14:textId="77777777" w:rsidR="00DB15E9" w:rsidRDefault="0078312E">
      <w:pPr>
        <w:pStyle w:val="TOC4"/>
        <w:rPr>
          <w:rFonts w:asciiTheme="minorHAnsi" w:eastAsiaTheme="minorEastAsia" w:hAnsiTheme="minorHAnsi" w:cstheme="minorBidi"/>
          <w:noProof/>
          <w:sz w:val="22"/>
          <w:szCs w:val="22"/>
        </w:rPr>
      </w:pPr>
      <w:r>
        <w:rPr>
          <w:noProof/>
        </w:rPr>
        <w:t>2.11.4.5</w:t>
      </w:r>
      <w:r>
        <w:rPr>
          <w:rFonts w:asciiTheme="minorHAnsi" w:eastAsiaTheme="minorEastAsia" w:hAnsiTheme="minorHAnsi" w:cstheme="minorBidi"/>
          <w:noProof/>
          <w:sz w:val="22"/>
          <w:szCs w:val="22"/>
        </w:rPr>
        <w:tab/>
      </w:r>
      <w:r>
        <w:rPr>
          <w:noProof/>
        </w:rPr>
        <w:t>Sinusoidal Vibration</w:t>
      </w:r>
      <w:r>
        <w:rPr>
          <w:noProof/>
        </w:rPr>
        <w:tab/>
      </w:r>
      <w:r>
        <w:rPr>
          <w:noProof/>
        </w:rPr>
        <w:fldChar w:fldCharType="begin"/>
      </w:r>
      <w:r>
        <w:rPr>
          <w:noProof/>
        </w:rPr>
        <w:instrText xml:space="preserve"> PAGEREF _Toc471910806 \h </w:instrText>
      </w:r>
      <w:r>
        <w:rPr>
          <w:noProof/>
        </w:rPr>
      </w:r>
      <w:r>
        <w:rPr>
          <w:noProof/>
        </w:rPr>
        <w:fldChar w:fldCharType="separate"/>
      </w:r>
      <w:r>
        <w:rPr>
          <w:noProof/>
        </w:rPr>
        <w:t>25</w:t>
      </w:r>
      <w:r>
        <w:rPr>
          <w:noProof/>
        </w:rPr>
        <w:fldChar w:fldCharType="end"/>
      </w:r>
    </w:p>
    <w:p w14:paraId="30BFF063" w14:textId="77777777" w:rsidR="00DB15E9" w:rsidRDefault="0078312E">
      <w:pPr>
        <w:pStyle w:val="TOC4"/>
        <w:rPr>
          <w:rFonts w:asciiTheme="minorHAnsi" w:eastAsiaTheme="minorEastAsia" w:hAnsiTheme="minorHAnsi" w:cstheme="minorBidi"/>
          <w:noProof/>
          <w:sz w:val="22"/>
          <w:szCs w:val="22"/>
        </w:rPr>
      </w:pPr>
      <w:r>
        <w:rPr>
          <w:noProof/>
        </w:rPr>
        <w:t>2.11.4.6</w:t>
      </w:r>
      <w:r>
        <w:rPr>
          <w:rFonts w:asciiTheme="minorHAnsi" w:eastAsiaTheme="minorEastAsia" w:hAnsiTheme="minorHAnsi" w:cstheme="minorBidi"/>
          <w:noProof/>
          <w:sz w:val="22"/>
          <w:szCs w:val="22"/>
        </w:rPr>
        <w:tab/>
      </w:r>
      <w:r>
        <w:rPr>
          <w:noProof/>
        </w:rPr>
        <w:t>Random Vibration</w:t>
      </w:r>
      <w:r>
        <w:rPr>
          <w:noProof/>
        </w:rPr>
        <w:tab/>
      </w:r>
      <w:r>
        <w:rPr>
          <w:noProof/>
        </w:rPr>
        <w:fldChar w:fldCharType="begin"/>
      </w:r>
      <w:r>
        <w:rPr>
          <w:noProof/>
        </w:rPr>
        <w:instrText xml:space="preserve"> PAGEREF _Toc471910807 \h </w:instrText>
      </w:r>
      <w:r>
        <w:rPr>
          <w:noProof/>
        </w:rPr>
      </w:r>
      <w:r>
        <w:rPr>
          <w:noProof/>
        </w:rPr>
        <w:fldChar w:fldCharType="separate"/>
      </w:r>
      <w:r>
        <w:rPr>
          <w:noProof/>
        </w:rPr>
        <w:t>25</w:t>
      </w:r>
      <w:r>
        <w:rPr>
          <w:noProof/>
        </w:rPr>
        <w:fldChar w:fldCharType="end"/>
      </w:r>
    </w:p>
    <w:p w14:paraId="4E75C102" w14:textId="77777777" w:rsidR="00DB15E9" w:rsidRDefault="0078312E">
      <w:pPr>
        <w:pStyle w:val="TOC4"/>
        <w:rPr>
          <w:rFonts w:asciiTheme="minorHAnsi" w:eastAsiaTheme="minorEastAsia" w:hAnsiTheme="minorHAnsi" w:cstheme="minorBidi"/>
          <w:noProof/>
          <w:sz w:val="22"/>
          <w:szCs w:val="22"/>
        </w:rPr>
      </w:pPr>
      <w:r>
        <w:rPr>
          <w:noProof/>
        </w:rPr>
        <w:t>2.11.4.7</w:t>
      </w:r>
      <w:r>
        <w:rPr>
          <w:rFonts w:asciiTheme="minorHAnsi" w:eastAsiaTheme="minorEastAsia" w:hAnsiTheme="minorHAnsi" w:cstheme="minorBidi"/>
          <w:noProof/>
          <w:sz w:val="22"/>
          <w:szCs w:val="22"/>
        </w:rPr>
        <w:tab/>
      </w:r>
      <w:r>
        <w:rPr>
          <w:noProof/>
        </w:rPr>
        <w:t>Acoustic Noise</w:t>
      </w:r>
      <w:r>
        <w:rPr>
          <w:noProof/>
        </w:rPr>
        <w:tab/>
      </w:r>
      <w:r>
        <w:rPr>
          <w:noProof/>
        </w:rPr>
        <w:fldChar w:fldCharType="begin"/>
      </w:r>
      <w:r>
        <w:rPr>
          <w:noProof/>
        </w:rPr>
        <w:instrText xml:space="preserve"> PAGEREF _Toc471910808 \h </w:instrText>
      </w:r>
      <w:r>
        <w:rPr>
          <w:noProof/>
        </w:rPr>
      </w:r>
      <w:r>
        <w:rPr>
          <w:noProof/>
        </w:rPr>
        <w:fldChar w:fldCharType="separate"/>
      </w:r>
      <w:r>
        <w:rPr>
          <w:noProof/>
        </w:rPr>
        <w:t>27</w:t>
      </w:r>
      <w:r>
        <w:rPr>
          <w:noProof/>
        </w:rPr>
        <w:fldChar w:fldCharType="end"/>
      </w:r>
    </w:p>
    <w:p w14:paraId="167A48AA" w14:textId="77777777" w:rsidR="00DB15E9" w:rsidRDefault="0078312E">
      <w:pPr>
        <w:pStyle w:val="TOC4"/>
        <w:rPr>
          <w:rFonts w:asciiTheme="minorHAnsi" w:eastAsiaTheme="minorEastAsia" w:hAnsiTheme="minorHAnsi" w:cstheme="minorBidi"/>
          <w:noProof/>
          <w:sz w:val="22"/>
          <w:szCs w:val="22"/>
        </w:rPr>
      </w:pPr>
      <w:r>
        <w:rPr>
          <w:noProof/>
        </w:rPr>
        <w:t>2.11.4.8</w:t>
      </w:r>
      <w:r>
        <w:rPr>
          <w:rFonts w:asciiTheme="minorHAnsi" w:eastAsiaTheme="minorEastAsia" w:hAnsiTheme="minorHAnsi" w:cstheme="minorBidi"/>
          <w:noProof/>
          <w:sz w:val="22"/>
          <w:szCs w:val="22"/>
        </w:rPr>
        <w:tab/>
      </w:r>
      <w:r>
        <w:rPr>
          <w:noProof/>
        </w:rPr>
        <w:t>Mechanical Shock</w:t>
      </w:r>
      <w:r>
        <w:rPr>
          <w:noProof/>
        </w:rPr>
        <w:tab/>
      </w:r>
      <w:r>
        <w:rPr>
          <w:noProof/>
        </w:rPr>
        <w:fldChar w:fldCharType="begin"/>
      </w:r>
      <w:r>
        <w:rPr>
          <w:noProof/>
        </w:rPr>
        <w:instrText xml:space="preserve"> PAGEREF _Toc471910809 \h </w:instrText>
      </w:r>
      <w:r>
        <w:rPr>
          <w:noProof/>
        </w:rPr>
      </w:r>
      <w:r>
        <w:rPr>
          <w:noProof/>
        </w:rPr>
        <w:fldChar w:fldCharType="separate"/>
      </w:r>
      <w:r>
        <w:rPr>
          <w:noProof/>
        </w:rPr>
        <w:t>28</w:t>
      </w:r>
      <w:r>
        <w:rPr>
          <w:noProof/>
        </w:rPr>
        <w:fldChar w:fldCharType="end"/>
      </w:r>
    </w:p>
    <w:p w14:paraId="6C425A8D" w14:textId="77777777" w:rsidR="00DB15E9" w:rsidRDefault="0078312E">
      <w:pPr>
        <w:pStyle w:val="TOC3"/>
        <w:rPr>
          <w:rFonts w:asciiTheme="minorHAnsi" w:eastAsiaTheme="minorEastAsia" w:hAnsiTheme="minorHAnsi" w:cstheme="minorBidi"/>
          <w:noProof/>
          <w:sz w:val="22"/>
        </w:rPr>
      </w:pPr>
      <w:r>
        <w:rPr>
          <w:noProof/>
        </w:rPr>
        <w:t>2.11.5</w:t>
      </w:r>
      <w:r>
        <w:rPr>
          <w:rFonts w:asciiTheme="minorHAnsi" w:eastAsiaTheme="minorEastAsia" w:hAnsiTheme="minorHAnsi" w:cstheme="minorBidi"/>
          <w:noProof/>
          <w:sz w:val="22"/>
        </w:rPr>
        <w:tab/>
      </w:r>
      <w:r>
        <w:rPr>
          <w:noProof/>
        </w:rPr>
        <w:t>Operational Environment</w:t>
      </w:r>
      <w:r>
        <w:rPr>
          <w:noProof/>
        </w:rPr>
        <w:tab/>
      </w:r>
      <w:r>
        <w:rPr>
          <w:noProof/>
        </w:rPr>
        <w:fldChar w:fldCharType="begin"/>
      </w:r>
      <w:r>
        <w:rPr>
          <w:noProof/>
        </w:rPr>
        <w:instrText xml:space="preserve"> PAGEREF _Toc471910810 \h </w:instrText>
      </w:r>
      <w:r>
        <w:rPr>
          <w:noProof/>
        </w:rPr>
      </w:r>
      <w:r>
        <w:rPr>
          <w:noProof/>
        </w:rPr>
        <w:fldChar w:fldCharType="separate"/>
      </w:r>
      <w:r>
        <w:rPr>
          <w:noProof/>
        </w:rPr>
        <w:t>28</w:t>
      </w:r>
      <w:r>
        <w:rPr>
          <w:noProof/>
        </w:rPr>
        <w:fldChar w:fldCharType="end"/>
      </w:r>
    </w:p>
    <w:p w14:paraId="4898C749" w14:textId="77777777" w:rsidR="00DB15E9" w:rsidRDefault="0078312E">
      <w:pPr>
        <w:pStyle w:val="TOC4"/>
        <w:rPr>
          <w:rFonts w:asciiTheme="minorHAnsi" w:eastAsiaTheme="minorEastAsia" w:hAnsiTheme="minorHAnsi" w:cstheme="minorBidi"/>
          <w:noProof/>
          <w:sz w:val="22"/>
          <w:szCs w:val="22"/>
        </w:rPr>
      </w:pPr>
      <w:r>
        <w:rPr>
          <w:noProof/>
        </w:rPr>
        <w:t>2.11.5.1</w:t>
      </w:r>
      <w:r>
        <w:rPr>
          <w:rFonts w:asciiTheme="minorHAnsi" w:eastAsiaTheme="minorEastAsia" w:hAnsiTheme="minorHAnsi" w:cstheme="minorBidi"/>
          <w:noProof/>
          <w:sz w:val="22"/>
          <w:szCs w:val="22"/>
        </w:rPr>
        <w:tab/>
      </w:r>
      <w:r>
        <w:rPr>
          <w:noProof/>
        </w:rPr>
        <w:t>Orbital Acceleration</w:t>
      </w:r>
      <w:r>
        <w:rPr>
          <w:noProof/>
        </w:rPr>
        <w:tab/>
      </w:r>
      <w:r>
        <w:rPr>
          <w:noProof/>
        </w:rPr>
        <w:fldChar w:fldCharType="begin"/>
      </w:r>
      <w:r>
        <w:rPr>
          <w:noProof/>
        </w:rPr>
        <w:instrText xml:space="preserve"> PAGEREF _Toc471910811 \h </w:instrText>
      </w:r>
      <w:r>
        <w:rPr>
          <w:noProof/>
        </w:rPr>
      </w:r>
      <w:r>
        <w:rPr>
          <w:noProof/>
        </w:rPr>
        <w:fldChar w:fldCharType="separate"/>
      </w:r>
      <w:r>
        <w:rPr>
          <w:noProof/>
        </w:rPr>
        <w:t>29</w:t>
      </w:r>
      <w:r>
        <w:rPr>
          <w:noProof/>
        </w:rPr>
        <w:fldChar w:fldCharType="end"/>
      </w:r>
    </w:p>
    <w:p w14:paraId="2822234C" w14:textId="77777777" w:rsidR="00DB15E9" w:rsidRDefault="0078312E">
      <w:pPr>
        <w:pStyle w:val="TOC4"/>
        <w:rPr>
          <w:rFonts w:asciiTheme="minorHAnsi" w:eastAsiaTheme="minorEastAsia" w:hAnsiTheme="minorHAnsi" w:cstheme="minorBidi"/>
          <w:noProof/>
          <w:sz w:val="22"/>
          <w:szCs w:val="22"/>
        </w:rPr>
      </w:pPr>
      <w:r>
        <w:rPr>
          <w:noProof/>
        </w:rPr>
        <w:t>2.11.5.2</w:t>
      </w:r>
      <w:r>
        <w:rPr>
          <w:rFonts w:asciiTheme="minorHAnsi" w:eastAsiaTheme="minorEastAsia" w:hAnsiTheme="minorHAnsi" w:cstheme="minorBidi"/>
          <w:noProof/>
          <w:sz w:val="22"/>
          <w:szCs w:val="22"/>
        </w:rPr>
        <w:tab/>
      </w:r>
      <w:r>
        <w:rPr>
          <w:noProof/>
        </w:rPr>
        <w:t>Corona</w:t>
      </w:r>
      <w:r>
        <w:rPr>
          <w:noProof/>
        </w:rPr>
        <w:tab/>
      </w:r>
      <w:r>
        <w:rPr>
          <w:noProof/>
        </w:rPr>
        <w:fldChar w:fldCharType="begin"/>
      </w:r>
      <w:r>
        <w:rPr>
          <w:noProof/>
        </w:rPr>
        <w:instrText xml:space="preserve"> PAGEREF _Toc471910812 \h </w:instrText>
      </w:r>
      <w:r>
        <w:rPr>
          <w:noProof/>
        </w:rPr>
      </w:r>
      <w:r>
        <w:rPr>
          <w:noProof/>
        </w:rPr>
        <w:fldChar w:fldCharType="separate"/>
      </w:r>
      <w:r>
        <w:rPr>
          <w:noProof/>
        </w:rPr>
        <w:t>30</w:t>
      </w:r>
      <w:r>
        <w:rPr>
          <w:noProof/>
        </w:rPr>
        <w:fldChar w:fldCharType="end"/>
      </w:r>
    </w:p>
    <w:p w14:paraId="40B0E40A" w14:textId="77777777" w:rsidR="00DB15E9" w:rsidRDefault="0078312E">
      <w:pPr>
        <w:pStyle w:val="TOC4"/>
        <w:rPr>
          <w:rFonts w:asciiTheme="minorHAnsi" w:eastAsiaTheme="minorEastAsia" w:hAnsiTheme="minorHAnsi" w:cstheme="minorBidi"/>
          <w:noProof/>
          <w:sz w:val="22"/>
          <w:szCs w:val="22"/>
        </w:rPr>
      </w:pPr>
      <w:r>
        <w:rPr>
          <w:noProof/>
        </w:rPr>
        <w:t>2.11.5.3</w:t>
      </w:r>
      <w:r>
        <w:rPr>
          <w:rFonts w:asciiTheme="minorHAnsi" w:eastAsiaTheme="minorEastAsia" w:hAnsiTheme="minorHAnsi" w:cstheme="minorBidi"/>
          <w:noProof/>
          <w:sz w:val="22"/>
          <w:szCs w:val="22"/>
        </w:rPr>
        <w:tab/>
      </w:r>
      <w:r>
        <w:rPr>
          <w:noProof/>
        </w:rPr>
        <w:t>Thermal Environment</w:t>
      </w:r>
      <w:r>
        <w:rPr>
          <w:noProof/>
        </w:rPr>
        <w:tab/>
      </w:r>
      <w:r>
        <w:rPr>
          <w:noProof/>
        </w:rPr>
        <w:fldChar w:fldCharType="begin"/>
      </w:r>
      <w:r>
        <w:rPr>
          <w:noProof/>
        </w:rPr>
        <w:instrText xml:space="preserve"> PAGEREF _Toc471910813 \h </w:instrText>
      </w:r>
      <w:r>
        <w:rPr>
          <w:noProof/>
        </w:rPr>
      </w:r>
      <w:r>
        <w:rPr>
          <w:noProof/>
        </w:rPr>
        <w:fldChar w:fldCharType="separate"/>
      </w:r>
      <w:r>
        <w:rPr>
          <w:noProof/>
        </w:rPr>
        <w:t>30</w:t>
      </w:r>
      <w:r>
        <w:rPr>
          <w:noProof/>
        </w:rPr>
        <w:fldChar w:fldCharType="end"/>
      </w:r>
    </w:p>
    <w:p w14:paraId="5D292DC5" w14:textId="77777777" w:rsidR="00DB15E9" w:rsidRDefault="0078312E">
      <w:pPr>
        <w:pStyle w:val="TOC4"/>
        <w:rPr>
          <w:rFonts w:asciiTheme="minorHAnsi" w:eastAsiaTheme="minorEastAsia" w:hAnsiTheme="minorHAnsi" w:cstheme="minorBidi"/>
          <w:noProof/>
          <w:sz w:val="22"/>
          <w:szCs w:val="22"/>
        </w:rPr>
      </w:pPr>
      <w:r>
        <w:rPr>
          <w:noProof/>
        </w:rPr>
        <w:t>2.11.5.4</w:t>
      </w:r>
      <w:r>
        <w:rPr>
          <w:rFonts w:asciiTheme="minorHAnsi" w:eastAsiaTheme="minorEastAsia" w:hAnsiTheme="minorHAnsi" w:cstheme="minorBidi"/>
          <w:noProof/>
          <w:sz w:val="22"/>
          <w:szCs w:val="22"/>
        </w:rPr>
        <w:tab/>
      </w:r>
      <w:r>
        <w:rPr>
          <w:noProof/>
        </w:rPr>
        <w:t>Radiation Design Margin</w:t>
      </w:r>
      <w:r>
        <w:rPr>
          <w:noProof/>
        </w:rPr>
        <w:tab/>
      </w:r>
      <w:r>
        <w:rPr>
          <w:noProof/>
        </w:rPr>
        <w:fldChar w:fldCharType="begin"/>
      </w:r>
      <w:r>
        <w:rPr>
          <w:noProof/>
        </w:rPr>
        <w:instrText xml:space="preserve"> PAGEREF _Toc471910814 \h </w:instrText>
      </w:r>
      <w:r>
        <w:rPr>
          <w:noProof/>
        </w:rPr>
      </w:r>
      <w:r>
        <w:rPr>
          <w:noProof/>
        </w:rPr>
        <w:fldChar w:fldCharType="separate"/>
      </w:r>
      <w:r>
        <w:rPr>
          <w:noProof/>
        </w:rPr>
        <w:t>30</w:t>
      </w:r>
      <w:r>
        <w:rPr>
          <w:noProof/>
        </w:rPr>
        <w:fldChar w:fldCharType="end"/>
      </w:r>
    </w:p>
    <w:p w14:paraId="0FCDCC1D" w14:textId="77777777" w:rsidR="00DB15E9" w:rsidRDefault="0078312E">
      <w:pPr>
        <w:pStyle w:val="TOC4"/>
        <w:rPr>
          <w:rFonts w:asciiTheme="minorHAnsi" w:eastAsiaTheme="minorEastAsia" w:hAnsiTheme="minorHAnsi" w:cstheme="minorBidi"/>
          <w:noProof/>
          <w:sz w:val="22"/>
          <w:szCs w:val="22"/>
        </w:rPr>
      </w:pPr>
      <w:r>
        <w:rPr>
          <w:noProof/>
        </w:rPr>
        <w:lastRenderedPageBreak/>
        <w:t>2.11.5.5</w:t>
      </w:r>
      <w:r>
        <w:rPr>
          <w:rFonts w:asciiTheme="minorHAnsi" w:eastAsiaTheme="minorEastAsia" w:hAnsiTheme="minorHAnsi" w:cstheme="minorBidi"/>
          <w:noProof/>
          <w:sz w:val="22"/>
          <w:szCs w:val="22"/>
        </w:rPr>
        <w:tab/>
      </w:r>
      <w:r>
        <w:rPr>
          <w:noProof/>
        </w:rPr>
        <w:t>Total Ionizing Dose</w:t>
      </w:r>
      <w:r>
        <w:rPr>
          <w:noProof/>
        </w:rPr>
        <w:tab/>
      </w:r>
      <w:r>
        <w:rPr>
          <w:noProof/>
        </w:rPr>
        <w:fldChar w:fldCharType="begin"/>
      </w:r>
      <w:r>
        <w:rPr>
          <w:noProof/>
        </w:rPr>
        <w:instrText xml:space="preserve"> PAGEREF _Toc471910815 \h </w:instrText>
      </w:r>
      <w:r>
        <w:rPr>
          <w:noProof/>
        </w:rPr>
      </w:r>
      <w:r>
        <w:rPr>
          <w:noProof/>
        </w:rPr>
        <w:fldChar w:fldCharType="separate"/>
      </w:r>
      <w:r>
        <w:rPr>
          <w:noProof/>
        </w:rPr>
        <w:t>31</w:t>
      </w:r>
      <w:r>
        <w:rPr>
          <w:noProof/>
        </w:rPr>
        <w:fldChar w:fldCharType="end"/>
      </w:r>
    </w:p>
    <w:p w14:paraId="651C3D70" w14:textId="77777777" w:rsidR="00DB15E9" w:rsidRDefault="0078312E">
      <w:pPr>
        <w:pStyle w:val="TOC4"/>
        <w:rPr>
          <w:rFonts w:asciiTheme="minorHAnsi" w:eastAsiaTheme="minorEastAsia" w:hAnsiTheme="minorHAnsi" w:cstheme="minorBidi"/>
          <w:noProof/>
          <w:sz w:val="22"/>
          <w:szCs w:val="22"/>
        </w:rPr>
      </w:pPr>
      <w:r>
        <w:rPr>
          <w:noProof/>
        </w:rPr>
        <w:t>2.11.5.6</w:t>
      </w:r>
      <w:r>
        <w:rPr>
          <w:rFonts w:asciiTheme="minorHAnsi" w:eastAsiaTheme="minorEastAsia" w:hAnsiTheme="minorHAnsi" w:cstheme="minorBidi"/>
          <w:noProof/>
          <w:sz w:val="22"/>
          <w:szCs w:val="22"/>
        </w:rPr>
        <w:tab/>
      </w:r>
      <w:r>
        <w:rPr>
          <w:noProof/>
        </w:rPr>
        <w:t>Micrometeoroids</w:t>
      </w:r>
      <w:r>
        <w:rPr>
          <w:noProof/>
        </w:rPr>
        <w:tab/>
      </w:r>
      <w:r>
        <w:rPr>
          <w:noProof/>
        </w:rPr>
        <w:fldChar w:fldCharType="begin"/>
      </w:r>
      <w:r>
        <w:rPr>
          <w:noProof/>
        </w:rPr>
        <w:instrText xml:space="preserve"> PAGEREF _Toc471910816 \h </w:instrText>
      </w:r>
      <w:r>
        <w:rPr>
          <w:noProof/>
        </w:rPr>
      </w:r>
      <w:r>
        <w:rPr>
          <w:noProof/>
        </w:rPr>
        <w:fldChar w:fldCharType="separate"/>
      </w:r>
      <w:r>
        <w:rPr>
          <w:noProof/>
        </w:rPr>
        <w:t>33</w:t>
      </w:r>
      <w:r>
        <w:rPr>
          <w:noProof/>
        </w:rPr>
        <w:fldChar w:fldCharType="end"/>
      </w:r>
    </w:p>
    <w:p w14:paraId="076DE7C7" w14:textId="77777777" w:rsidR="00DB15E9" w:rsidRDefault="0078312E">
      <w:pPr>
        <w:pStyle w:val="TOC4"/>
        <w:rPr>
          <w:rFonts w:asciiTheme="minorHAnsi" w:eastAsiaTheme="minorEastAsia" w:hAnsiTheme="minorHAnsi" w:cstheme="minorBidi"/>
          <w:noProof/>
          <w:sz w:val="22"/>
          <w:szCs w:val="22"/>
        </w:rPr>
      </w:pPr>
      <w:r>
        <w:rPr>
          <w:noProof/>
        </w:rPr>
        <w:t>2.11.5.7</w:t>
      </w:r>
      <w:r>
        <w:rPr>
          <w:rFonts w:asciiTheme="minorHAnsi" w:eastAsiaTheme="minorEastAsia" w:hAnsiTheme="minorHAnsi" w:cstheme="minorBidi"/>
          <w:noProof/>
          <w:sz w:val="22"/>
          <w:szCs w:val="22"/>
        </w:rPr>
        <w:tab/>
      </w:r>
      <w:r>
        <w:rPr>
          <w:noProof/>
        </w:rPr>
        <w:t>Artificial Space Debris</w:t>
      </w:r>
      <w:r>
        <w:rPr>
          <w:noProof/>
        </w:rPr>
        <w:tab/>
      </w:r>
      <w:r>
        <w:rPr>
          <w:noProof/>
        </w:rPr>
        <w:fldChar w:fldCharType="begin"/>
      </w:r>
      <w:r>
        <w:rPr>
          <w:noProof/>
        </w:rPr>
        <w:instrText xml:space="preserve"> PAGEREF _Toc471910817 \h </w:instrText>
      </w:r>
      <w:r>
        <w:rPr>
          <w:noProof/>
        </w:rPr>
      </w:r>
      <w:r>
        <w:rPr>
          <w:noProof/>
        </w:rPr>
        <w:fldChar w:fldCharType="separate"/>
      </w:r>
      <w:r>
        <w:rPr>
          <w:noProof/>
        </w:rPr>
        <w:t>34</w:t>
      </w:r>
      <w:r>
        <w:rPr>
          <w:noProof/>
        </w:rPr>
        <w:fldChar w:fldCharType="end"/>
      </w:r>
    </w:p>
    <w:p w14:paraId="1E617AF6" w14:textId="77777777" w:rsidR="00DB15E9" w:rsidRDefault="0078312E">
      <w:pPr>
        <w:pStyle w:val="TOC4"/>
        <w:rPr>
          <w:rFonts w:asciiTheme="minorHAnsi" w:eastAsiaTheme="minorEastAsia" w:hAnsiTheme="minorHAnsi" w:cstheme="minorBidi"/>
          <w:noProof/>
          <w:sz w:val="22"/>
          <w:szCs w:val="22"/>
        </w:rPr>
      </w:pPr>
      <w:r>
        <w:rPr>
          <w:noProof/>
        </w:rPr>
        <w:t>2.11.5.8</w:t>
      </w:r>
      <w:r>
        <w:rPr>
          <w:rFonts w:asciiTheme="minorHAnsi" w:eastAsiaTheme="minorEastAsia" w:hAnsiTheme="minorHAnsi" w:cstheme="minorBidi"/>
          <w:noProof/>
          <w:sz w:val="22"/>
          <w:szCs w:val="22"/>
        </w:rPr>
        <w:tab/>
      </w:r>
      <w:r>
        <w:rPr>
          <w:noProof/>
        </w:rPr>
        <w:t>Atomic Oxygen Environment</w:t>
      </w:r>
      <w:r>
        <w:rPr>
          <w:noProof/>
        </w:rPr>
        <w:tab/>
      </w:r>
      <w:r>
        <w:rPr>
          <w:noProof/>
        </w:rPr>
        <w:fldChar w:fldCharType="begin"/>
      </w:r>
      <w:r>
        <w:rPr>
          <w:noProof/>
        </w:rPr>
        <w:instrText xml:space="preserve"> PAGEREF _Toc471910818 \h </w:instrText>
      </w:r>
      <w:r>
        <w:rPr>
          <w:noProof/>
        </w:rPr>
      </w:r>
      <w:r>
        <w:rPr>
          <w:noProof/>
        </w:rPr>
        <w:fldChar w:fldCharType="separate"/>
      </w:r>
      <w:r>
        <w:rPr>
          <w:noProof/>
        </w:rPr>
        <w:t>36</w:t>
      </w:r>
      <w:r>
        <w:rPr>
          <w:noProof/>
        </w:rPr>
        <w:fldChar w:fldCharType="end"/>
      </w:r>
    </w:p>
    <w:p w14:paraId="1CB6F5A7" w14:textId="77777777" w:rsidR="00DB15E9" w:rsidRDefault="0078312E">
      <w:pPr>
        <w:pStyle w:val="TOC3"/>
        <w:rPr>
          <w:rFonts w:asciiTheme="minorHAnsi" w:eastAsiaTheme="minorEastAsia" w:hAnsiTheme="minorHAnsi" w:cstheme="minorBidi"/>
          <w:noProof/>
          <w:sz w:val="22"/>
        </w:rPr>
      </w:pPr>
      <w:r>
        <w:rPr>
          <w:noProof/>
        </w:rPr>
        <w:t>2.11.6</w:t>
      </w:r>
      <w:r>
        <w:rPr>
          <w:rFonts w:asciiTheme="minorHAnsi" w:eastAsiaTheme="minorEastAsia" w:hAnsiTheme="minorHAnsi" w:cstheme="minorBidi"/>
          <w:noProof/>
          <w:sz w:val="22"/>
        </w:rPr>
        <w:tab/>
      </w:r>
      <w:r>
        <w:rPr>
          <w:noProof/>
        </w:rPr>
        <w:t>Electromagnetic Interference &amp; Compatibility Environment</w:t>
      </w:r>
      <w:r>
        <w:rPr>
          <w:noProof/>
        </w:rPr>
        <w:tab/>
      </w:r>
      <w:r>
        <w:rPr>
          <w:noProof/>
        </w:rPr>
        <w:fldChar w:fldCharType="begin"/>
      </w:r>
      <w:r>
        <w:rPr>
          <w:noProof/>
        </w:rPr>
        <w:instrText xml:space="preserve"> PAGEREF _Toc471910819 \h </w:instrText>
      </w:r>
      <w:r>
        <w:rPr>
          <w:noProof/>
        </w:rPr>
      </w:r>
      <w:r>
        <w:rPr>
          <w:noProof/>
        </w:rPr>
        <w:fldChar w:fldCharType="separate"/>
      </w:r>
      <w:r>
        <w:rPr>
          <w:noProof/>
        </w:rPr>
        <w:t>37</w:t>
      </w:r>
      <w:r>
        <w:rPr>
          <w:noProof/>
        </w:rPr>
        <w:fldChar w:fldCharType="end"/>
      </w:r>
    </w:p>
    <w:p w14:paraId="31FAC9AE" w14:textId="77777777" w:rsidR="00DB15E9" w:rsidRDefault="0078312E">
      <w:pPr>
        <w:pStyle w:val="TOC1"/>
        <w:rPr>
          <w:rFonts w:asciiTheme="minorHAnsi" w:hAnsiTheme="minorHAnsi"/>
          <w:caps w:val="0"/>
          <w:sz w:val="22"/>
          <w:szCs w:val="22"/>
        </w:rPr>
      </w:pPr>
      <w:r>
        <w:t>3</w:t>
      </w:r>
      <w:r>
        <w:rPr>
          <w:rFonts w:asciiTheme="minorHAnsi" w:hAnsiTheme="minorHAnsi"/>
          <w:caps w:val="0"/>
          <w:sz w:val="22"/>
          <w:szCs w:val="22"/>
        </w:rPr>
        <w:tab/>
      </w:r>
      <w:r>
        <w:t>Design Guidelines For geo</w:t>
      </w:r>
      <w:r>
        <w:tab/>
      </w:r>
      <w:r>
        <w:fldChar w:fldCharType="begin"/>
      </w:r>
      <w:r>
        <w:instrText xml:space="preserve"> PAGEREF _Toc471910820 \h </w:instrText>
      </w:r>
      <w:r>
        <w:fldChar w:fldCharType="separate"/>
      </w:r>
      <w:r>
        <w:t>38</w:t>
      </w:r>
      <w:r>
        <w:fldChar w:fldCharType="end"/>
      </w:r>
    </w:p>
    <w:p w14:paraId="7D17F305" w14:textId="77777777" w:rsidR="00DB15E9" w:rsidRDefault="0078312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Assumptions</w:t>
      </w:r>
      <w:r>
        <w:tab/>
      </w:r>
      <w:r>
        <w:fldChar w:fldCharType="begin"/>
      </w:r>
      <w:r>
        <w:instrText xml:space="preserve"> PAGEREF _Toc471910821 \h </w:instrText>
      </w:r>
      <w:r>
        <w:fldChar w:fldCharType="separate"/>
      </w:r>
      <w:r>
        <w:t>38</w:t>
      </w:r>
      <w:r>
        <w:fldChar w:fldCharType="end"/>
      </w:r>
    </w:p>
    <w:p w14:paraId="1AD30CB7" w14:textId="77777777" w:rsidR="00DB15E9" w:rsidRDefault="0078312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Hosted Payload Worldview</w:t>
      </w:r>
      <w:r>
        <w:tab/>
      </w:r>
      <w:r>
        <w:fldChar w:fldCharType="begin"/>
      </w:r>
      <w:r>
        <w:instrText xml:space="preserve"> PAGEREF _Toc471910822 \h </w:instrText>
      </w:r>
      <w:r>
        <w:fldChar w:fldCharType="separate"/>
      </w:r>
      <w:r>
        <w:t>38</w:t>
      </w:r>
      <w:r>
        <w:fldChar w:fldCharType="end"/>
      </w:r>
    </w:p>
    <w:p w14:paraId="2D9B92BC" w14:textId="77777777" w:rsidR="00DB15E9" w:rsidRDefault="0078312E">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Mission Risk</w:t>
      </w:r>
      <w:r>
        <w:tab/>
      </w:r>
      <w:r>
        <w:fldChar w:fldCharType="begin"/>
      </w:r>
      <w:r>
        <w:instrText xml:space="preserve"> PAGEREF _Toc471910823 \h </w:instrText>
      </w:r>
      <w:r>
        <w:fldChar w:fldCharType="separate"/>
      </w:r>
      <w:r>
        <w:t>38</w:t>
      </w:r>
      <w:r>
        <w:fldChar w:fldCharType="end"/>
      </w:r>
    </w:p>
    <w:p w14:paraId="4459105C" w14:textId="77777777" w:rsidR="00DB15E9" w:rsidRDefault="0078312E">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Instrument End of Life</w:t>
      </w:r>
      <w:r>
        <w:tab/>
      </w:r>
      <w:r>
        <w:fldChar w:fldCharType="begin"/>
      </w:r>
      <w:r>
        <w:instrText xml:space="preserve"> PAGEREF _Toc471910824 \h </w:instrText>
      </w:r>
      <w:r>
        <w:fldChar w:fldCharType="separate"/>
      </w:r>
      <w:r>
        <w:t>39</w:t>
      </w:r>
      <w:r>
        <w:fldChar w:fldCharType="end"/>
      </w:r>
    </w:p>
    <w:p w14:paraId="27D58000" w14:textId="77777777" w:rsidR="00DB15E9" w:rsidRDefault="0078312E">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Prevention of Failure Back-Propagation</w:t>
      </w:r>
      <w:r>
        <w:tab/>
      </w:r>
      <w:r>
        <w:fldChar w:fldCharType="begin"/>
      </w:r>
      <w:r>
        <w:instrText xml:space="preserve"> PAGEREF _Toc471910825 \h </w:instrText>
      </w:r>
      <w:r>
        <w:fldChar w:fldCharType="separate"/>
      </w:r>
      <w:r>
        <w:t>39</w:t>
      </w:r>
      <w:r>
        <w:fldChar w:fldCharType="end"/>
      </w:r>
    </w:p>
    <w:p w14:paraId="449C4D07" w14:textId="77777777" w:rsidR="00DB15E9" w:rsidRDefault="0078312E">
      <w:pPr>
        <w:pStyle w:val="TOC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Data Guidelines</w:t>
      </w:r>
      <w:r>
        <w:tab/>
      </w:r>
      <w:r>
        <w:fldChar w:fldCharType="begin"/>
      </w:r>
      <w:r>
        <w:instrText xml:space="preserve"> PAGEREF _Toc471910826 \h </w:instrText>
      </w:r>
      <w:r>
        <w:fldChar w:fldCharType="separate"/>
      </w:r>
      <w:r>
        <w:t>39</w:t>
      </w:r>
      <w:r>
        <w:fldChar w:fldCharType="end"/>
      </w:r>
    </w:p>
    <w:p w14:paraId="3B43D4E5" w14:textId="77777777" w:rsidR="00DB15E9" w:rsidRDefault="0078312E">
      <w:pPr>
        <w:pStyle w:val="TOC3"/>
        <w:rPr>
          <w:rFonts w:asciiTheme="minorHAnsi" w:eastAsiaTheme="minorEastAsia" w:hAnsiTheme="minorHAnsi" w:cstheme="minorBidi"/>
          <w:noProof/>
          <w:sz w:val="22"/>
        </w:rPr>
      </w:pPr>
      <w:r>
        <w:rPr>
          <w:noProof/>
        </w:rPr>
        <w:t>3.6.1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_Toc471910827 \h </w:instrText>
      </w:r>
      <w:r>
        <w:rPr>
          <w:noProof/>
        </w:rPr>
      </w:r>
      <w:r>
        <w:rPr>
          <w:noProof/>
        </w:rPr>
        <w:fldChar w:fldCharType="separate"/>
      </w:r>
      <w:r>
        <w:rPr>
          <w:noProof/>
        </w:rPr>
        <w:t>39</w:t>
      </w:r>
      <w:r>
        <w:rPr>
          <w:noProof/>
        </w:rPr>
        <w:fldChar w:fldCharType="end"/>
      </w:r>
    </w:p>
    <w:p w14:paraId="344B1661" w14:textId="77777777" w:rsidR="00DB15E9" w:rsidRDefault="0078312E">
      <w:pPr>
        <w:pStyle w:val="TOC3"/>
        <w:rPr>
          <w:rFonts w:asciiTheme="minorHAnsi" w:eastAsiaTheme="minorEastAsia" w:hAnsiTheme="minorHAnsi" w:cstheme="minorBidi"/>
          <w:noProof/>
          <w:sz w:val="22"/>
        </w:rPr>
      </w:pPr>
      <w:r>
        <w:rPr>
          <w:noProof/>
        </w:rPr>
        <w:t>3.6.2</w:t>
      </w:r>
      <w:r>
        <w:rPr>
          <w:rFonts w:asciiTheme="minorHAnsi" w:eastAsiaTheme="minorEastAsia" w:hAnsiTheme="minorHAnsi" w:cstheme="minorBidi"/>
          <w:noProof/>
          <w:sz w:val="22"/>
        </w:rPr>
        <w:tab/>
      </w:r>
      <w:r>
        <w:rPr>
          <w:noProof/>
        </w:rPr>
        <w:t>Data Interface</w:t>
      </w:r>
      <w:r>
        <w:rPr>
          <w:noProof/>
        </w:rPr>
        <w:tab/>
      </w:r>
      <w:r>
        <w:rPr>
          <w:noProof/>
        </w:rPr>
        <w:fldChar w:fldCharType="begin"/>
      </w:r>
      <w:r>
        <w:rPr>
          <w:noProof/>
        </w:rPr>
        <w:instrText xml:space="preserve"> PAGEREF _Toc471910828 \h </w:instrText>
      </w:r>
      <w:r>
        <w:rPr>
          <w:noProof/>
        </w:rPr>
      </w:r>
      <w:r>
        <w:rPr>
          <w:noProof/>
        </w:rPr>
        <w:fldChar w:fldCharType="separate"/>
      </w:r>
      <w:r>
        <w:rPr>
          <w:noProof/>
        </w:rPr>
        <w:t>39</w:t>
      </w:r>
      <w:r>
        <w:rPr>
          <w:noProof/>
        </w:rPr>
        <w:fldChar w:fldCharType="end"/>
      </w:r>
    </w:p>
    <w:p w14:paraId="3FA66220" w14:textId="77777777" w:rsidR="00DB15E9" w:rsidRDefault="0078312E">
      <w:pPr>
        <w:pStyle w:val="TOC4"/>
        <w:rPr>
          <w:rFonts w:asciiTheme="minorHAnsi" w:eastAsiaTheme="minorEastAsia" w:hAnsiTheme="minorHAnsi" w:cstheme="minorBidi"/>
          <w:noProof/>
          <w:sz w:val="22"/>
          <w:szCs w:val="22"/>
        </w:rPr>
      </w:pPr>
      <w:r>
        <w:rPr>
          <w:noProof/>
        </w:rPr>
        <w:t>3.6.2.1</w:t>
      </w:r>
      <w:r>
        <w:rPr>
          <w:rFonts w:asciiTheme="minorHAnsi" w:eastAsiaTheme="minorEastAsia" w:hAnsiTheme="minorHAnsi" w:cstheme="minorBidi"/>
          <w:noProof/>
          <w:sz w:val="22"/>
          <w:szCs w:val="22"/>
        </w:rPr>
        <w:tab/>
      </w:r>
      <w:r>
        <w:rPr>
          <w:noProof/>
        </w:rPr>
        <w:t>Command and telemetry</w:t>
      </w:r>
      <w:r>
        <w:rPr>
          <w:noProof/>
        </w:rPr>
        <w:tab/>
      </w:r>
      <w:r>
        <w:rPr>
          <w:noProof/>
        </w:rPr>
        <w:fldChar w:fldCharType="begin"/>
      </w:r>
      <w:r>
        <w:rPr>
          <w:noProof/>
        </w:rPr>
        <w:instrText xml:space="preserve"> PAGEREF _Toc471910829 \h </w:instrText>
      </w:r>
      <w:r>
        <w:rPr>
          <w:noProof/>
        </w:rPr>
      </w:r>
      <w:r>
        <w:rPr>
          <w:noProof/>
        </w:rPr>
        <w:fldChar w:fldCharType="separate"/>
      </w:r>
      <w:r>
        <w:rPr>
          <w:noProof/>
        </w:rPr>
        <w:t>39</w:t>
      </w:r>
      <w:r>
        <w:rPr>
          <w:noProof/>
        </w:rPr>
        <w:fldChar w:fldCharType="end"/>
      </w:r>
    </w:p>
    <w:p w14:paraId="6D0F4C20" w14:textId="77777777" w:rsidR="00DB15E9" w:rsidRDefault="0078312E">
      <w:pPr>
        <w:pStyle w:val="TOC4"/>
        <w:rPr>
          <w:rFonts w:asciiTheme="minorHAnsi" w:eastAsiaTheme="minorEastAsia" w:hAnsiTheme="minorHAnsi" w:cstheme="minorBidi"/>
          <w:noProof/>
          <w:sz w:val="22"/>
          <w:szCs w:val="22"/>
        </w:rPr>
      </w:pPr>
      <w:r>
        <w:rPr>
          <w:noProof/>
        </w:rPr>
        <w:t>3.6.2.2</w:t>
      </w:r>
      <w:r>
        <w:rPr>
          <w:rFonts w:asciiTheme="minorHAnsi" w:eastAsiaTheme="minorEastAsia" w:hAnsiTheme="minorHAnsi" w:cstheme="minorBidi"/>
          <w:noProof/>
          <w:sz w:val="22"/>
          <w:szCs w:val="22"/>
        </w:rPr>
        <w:tab/>
      </w:r>
      <w:r>
        <w:rPr>
          <w:noProof/>
        </w:rPr>
        <w:t>Science</w:t>
      </w:r>
      <w:r>
        <w:rPr>
          <w:noProof/>
        </w:rPr>
        <w:tab/>
      </w:r>
      <w:r>
        <w:rPr>
          <w:noProof/>
        </w:rPr>
        <w:fldChar w:fldCharType="begin"/>
      </w:r>
      <w:r>
        <w:rPr>
          <w:noProof/>
        </w:rPr>
        <w:instrText xml:space="preserve"> PAGEREF _Toc471910830 \h </w:instrText>
      </w:r>
      <w:r>
        <w:rPr>
          <w:noProof/>
        </w:rPr>
      </w:r>
      <w:r>
        <w:rPr>
          <w:noProof/>
        </w:rPr>
        <w:fldChar w:fldCharType="separate"/>
      </w:r>
      <w:r>
        <w:rPr>
          <w:noProof/>
        </w:rPr>
        <w:t>39</w:t>
      </w:r>
      <w:r>
        <w:rPr>
          <w:noProof/>
        </w:rPr>
        <w:fldChar w:fldCharType="end"/>
      </w:r>
    </w:p>
    <w:p w14:paraId="7EE8540B" w14:textId="77777777" w:rsidR="00DB15E9" w:rsidRDefault="0078312E">
      <w:pPr>
        <w:pStyle w:val="TOC3"/>
        <w:rPr>
          <w:rFonts w:asciiTheme="minorHAnsi" w:eastAsiaTheme="minorEastAsia" w:hAnsiTheme="minorHAnsi" w:cstheme="minorBidi"/>
          <w:noProof/>
          <w:sz w:val="22"/>
        </w:rPr>
      </w:pPr>
      <w:r>
        <w:rPr>
          <w:noProof/>
        </w:rPr>
        <w:t>3.6.3</w:t>
      </w:r>
      <w:r>
        <w:rPr>
          <w:rFonts w:asciiTheme="minorHAnsi" w:eastAsiaTheme="minorEastAsia" w:hAnsiTheme="minorHAnsi" w:cstheme="minorBidi"/>
          <w:noProof/>
          <w:sz w:val="22"/>
        </w:rPr>
        <w:tab/>
      </w:r>
      <w:r>
        <w:rPr>
          <w:noProof/>
        </w:rPr>
        <w:t>Data Accommodation</w:t>
      </w:r>
      <w:r>
        <w:rPr>
          <w:noProof/>
        </w:rPr>
        <w:tab/>
      </w:r>
      <w:r>
        <w:rPr>
          <w:noProof/>
        </w:rPr>
        <w:fldChar w:fldCharType="begin"/>
      </w:r>
      <w:r>
        <w:rPr>
          <w:noProof/>
        </w:rPr>
        <w:instrText xml:space="preserve"> PAGEREF _Toc471910831 \h </w:instrText>
      </w:r>
      <w:r>
        <w:rPr>
          <w:noProof/>
        </w:rPr>
      </w:r>
      <w:r>
        <w:rPr>
          <w:noProof/>
        </w:rPr>
        <w:fldChar w:fldCharType="separate"/>
      </w:r>
      <w:r>
        <w:rPr>
          <w:noProof/>
        </w:rPr>
        <w:t>40</w:t>
      </w:r>
      <w:r>
        <w:rPr>
          <w:noProof/>
        </w:rPr>
        <w:fldChar w:fldCharType="end"/>
      </w:r>
    </w:p>
    <w:p w14:paraId="31ED23E8" w14:textId="77777777" w:rsidR="00DB15E9" w:rsidRDefault="0078312E">
      <w:pPr>
        <w:pStyle w:val="TOC4"/>
        <w:rPr>
          <w:rFonts w:asciiTheme="minorHAnsi" w:eastAsiaTheme="minorEastAsia" w:hAnsiTheme="minorHAnsi" w:cstheme="minorBidi"/>
          <w:noProof/>
          <w:sz w:val="22"/>
          <w:szCs w:val="22"/>
        </w:rPr>
      </w:pPr>
      <w:r>
        <w:rPr>
          <w:noProof/>
        </w:rPr>
        <w:t>3.6.3.1</w:t>
      </w:r>
      <w:r>
        <w:rPr>
          <w:rFonts w:asciiTheme="minorHAnsi" w:eastAsiaTheme="minorEastAsia" w:hAnsiTheme="minorHAnsi" w:cstheme="minorBidi"/>
          <w:noProof/>
          <w:sz w:val="22"/>
          <w:szCs w:val="22"/>
        </w:rPr>
        <w:tab/>
      </w:r>
      <w:r>
        <w:rPr>
          <w:noProof/>
        </w:rPr>
        <w:t>Command and telemetry</w:t>
      </w:r>
      <w:r>
        <w:rPr>
          <w:noProof/>
        </w:rPr>
        <w:tab/>
      </w:r>
      <w:r>
        <w:rPr>
          <w:noProof/>
        </w:rPr>
        <w:fldChar w:fldCharType="begin"/>
      </w:r>
      <w:r>
        <w:rPr>
          <w:noProof/>
        </w:rPr>
        <w:instrText xml:space="preserve"> PAGEREF _Toc471910832 \h </w:instrText>
      </w:r>
      <w:r>
        <w:rPr>
          <w:noProof/>
        </w:rPr>
      </w:r>
      <w:r>
        <w:rPr>
          <w:noProof/>
        </w:rPr>
        <w:fldChar w:fldCharType="separate"/>
      </w:r>
      <w:r>
        <w:rPr>
          <w:noProof/>
        </w:rPr>
        <w:t>40</w:t>
      </w:r>
      <w:r>
        <w:rPr>
          <w:noProof/>
        </w:rPr>
        <w:fldChar w:fldCharType="end"/>
      </w:r>
    </w:p>
    <w:p w14:paraId="71874323" w14:textId="77777777" w:rsidR="00DB15E9" w:rsidRDefault="0078312E">
      <w:pPr>
        <w:pStyle w:val="TOC4"/>
        <w:rPr>
          <w:rFonts w:asciiTheme="minorHAnsi" w:eastAsiaTheme="minorEastAsia" w:hAnsiTheme="minorHAnsi" w:cstheme="minorBidi"/>
          <w:noProof/>
          <w:sz w:val="22"/>
          <w:szCs w:val="22"/>
        </w:rPr>
      </w:pPr>
      <w:r>
        <w:rPr>
          <w:noProof/>
        </w:rPr>
        <w:t>3.6.3.2</w:t>
      </w:r>
      <w:r>
        <w:rPr>
          <w:rFonts w:asciiTheme="minorHAnsi" w:eastAsiaTheme="minorEastAsia" w:hAnsiTheme="minorHAnsi" w:cstheme="minorBidi"/>
          <w:noProof/>
          <w:sz w:val="22"/>
          <w:szCs w:val="22"/>
        </w:rPr>
        <w:tab/>
      </w:r>
      <w:r>
        <w:rPr>
          <w:noProof/>
        </w:rPr>
        <w:t>Science</w:t>
      </w:r>
      <w:r>
        <w:rPr>
          <w:noProof/>
        </w:rPr>
        <w:tab/>
      </w:r>
      <w:r>
        <w:rPr>
          <w:noProof/>
        </w:rPr>
        <w:fldChar w:fldCharType="begin"/>
      </w:r>
      <w:r>
        <w:rPr>
          <w:noProof/>
        </w:rPr>
        <w:instrText xml:space="preserve"> PAGEREF _Toc471910833 \h </w:instrText>
      </w:r>
      <w:r>
        <w:rPr>
          <w:noProof/>
        </w:rPr>
      </w:r>
      <w:r>
        <w:rPr>
          <w:noProof/>
        </w:rPr>
        <w:fldChar w:fldCharType="separate"/>
      </w:r>
      <w:r>
        <w:rPr>
          <w:noProof/>
        </w:rPr>
        <w:t>40</w:t>
      </w:r>
      <w:r>
        <w:rPr>
          <w:noProof/>
        </w:rPr>
        <w:fldChar w:fldCharType="end"/>
      </w:r>
    </w:p>
    <w:p w14:paraId="6D2776F8" w14:textId="77777777" w:rsidR="00DB15E9" w:rsidRDefault="0078312E">
      <w:pPr>
        <w:pStyle w:val="TOC3"/>
        <w:rPr>
          <w:rFonts w:asciiTheme="minorHAnsi" w:eastAsiaTheme="minorEastAsia" w:hAnsiTheme="minorHAnsi" w:cstheme="minorBidi"/>
          <w:noProof/>
          <w:sz w:val="22"/>
        </w:rPr>
      </w:pPr>
      <w:r>
        <w:rPr>
          <w:noProof/>
        </w:rPr>
        <w:t>3.6.4</w:t>
      </w:r>
      <w:r>
        <w:rPr>
          <w:rFonts w:asciiTheme="minorHAnsi" w:eastAsiaTheme="minorEastAsia" w:hAnsiTheme="minorHAnsi" w:cstheme="minorBidi"/>
          <w:noProof/>
          <w:sz w:val="22"/>
        </w:rPr>
        <w:tab/>
      </w:r>
      <w:r>
        <w:rPr>
          <w:noProof/>
        </w:rPr>
        <w:t>Onboard Science Data Storage</w:t>
      </w:r>
      <w:r>
        <w:rPr>
          <w:noProof/>
        </w:rPr>
        <w:tab/>
      </w:r>
      <w:r>
        <w:rPr>
          <w:noProof/>
        </w:rPr>
        <w:fldChar w:fldCharType="begin"/>
      </w:r>
      <w:r>
        <w:rPr>
          <w:noProof/>
        </w:rPr>
        <w:instrText xml:space="preserve"> PAGEREF _Toc471910834 \h </w:instrText>
      </w:r>
      <w:r>
        <w:rPr>
          <w:noProof/>
        </w:rPr>
      </w:r>
      <w:r>
        <w:rPr>
          <w:noProof/>
        </w:rPr>
        <w:fldChar w:fldCharType="separate"/>
      </w:r>
      <w:r>
        <w:rPr>
          <w:noProof/>
        </w:rPr>
        <w:t>40</w:t>
      </w:r>
      <w:r>
        <w:rPr>
          <w:noProof/>
        </w:rPr>
        <w:fldChar w:fldCharType="end"/>
      </w:r>
    </w:p>
    <w:p w14:paraId="1E0BFF9B" w14:textId="77777777" w:rsidR="00DB15E9" w:rsidRDefault="0078312E">
      <w:pPr>
        <w:pStyle w:val="TOC3"/>
        <w:rPr>
          <w:rFonts w:asciiTheme="minorHAnsi" w:eastAsiaTheme="minorEastAsia" w:hAnsiTheme="minorHAnsi" w:cstheme="minorBidi"/>
          <w:noProof/>
          <w:sz w:val="22"/>
        </w:rPr>
      </w:pPr>
      <w:r>
        <w:rPr>
          <w:noProof/>
        </w:rPr>
        <w:t>3.6.5</w:t>
      </w:r>
      <w:r>
        <w:rPr>
          <w:rFonts w:asciiTheme="minorHAnsi" w:eastAsiaTheme="minorEastAsia" w:hAnsiTheme="minorHAnsi" w:cstheme="minorBidi"/>
          <w:noProof/>
          <w:sz w:val="22"/>
        </w:rPr>
        <w:tab/>
      </w:r>
      <w:r>
        <w:rPr>
          <w:noProof/>
        </w:rPr>
        <w:t>Command and Telemetry Dictionary</w:t>
      </w:r>
      <w:r>
        <w:rPr>
          <w:noProof/>
        </w:rPr>
        <w:tab/>
      </w:r>
      <w:r>
        <w:rPr>
          <w:noProof/>
        </w:rPr>
        <w:fldChar w:fldCharType="begin"/>
      </w:r>
      <w:r>
        <w:rPr>
          <w:noProof/>
        </w:rPr>
        <w:instrText xml:space="preserve"> PAGEREF _Toc471910835 \h </w:instrText>
      </w:r>
      <w:r>
        <w:rPr>
          <w:noProof/>
        </w:rPr>
      </w:r>
      <w:r>
        <w:rPr>
          <w:noProof/>
        </w:rPr>
        <w:fldChar w:fldCharType="separate"/>
      </w:r>
      <w:r>
        <w:rPr>
          <w:noProof/>
        </w:rPr>
        <w:t>40</w:t>
      </w:r>
      <w:r>
        <w:rPr>
          <w:noProof/>
        </w:rPr>
        <w:fldChar w:fldCharType="end"/>
      </w:r>
    </w:p>
    <w:p w14:paraId="4D59AC5C" w14:textId="77777777" w:rsidR="00DB15E9" w:rsidRDefault="0078312E">
      <w:pPr>
        <w:pStyle w:val="TOC3"/>
        <w:rPr>
          <w:rFonts w:asciiTheme="minorHAnsi" w:eastAsiaTheme="minorEastAsia" w:hAnsiTheme="minorHAnsi" w:cstheme="minorBidi"/>
          <w:noProof/>
          <w:sz w:val="22"/>
        </w:rPr>
      </w:pPr>
      <w:r>
        <w:rPr>
          <w:noProof/>
        </w:rPr>
        <w:t>3.6.6</w:t>
      </w:r>
      <w:r>
        <w:rPr>
          <w:rFonts w:asciiTheme="minorHAnsi" w:eastAsiaTheme="minorEastAsia" w:hAnsiTheme="minorHAnsi" w:cstheme="minorBidi"/>
          <w:noProof/>
          <w:sz w:val="22"/>
        </w:rPr>
        <w:tab/>
      </w:r>
      <w:r>
        <w:rPr>
          <w:noProof/>
        </w:rPr>
        <w:t>SAFE mode</w:t>
      </w:r>
      <w:r>
        <w:rPr>
          <w:noProof/>
        </w:rPr>
        <w:tab/>
      </w:r>
      <w:r>
        <w:rPr>
          <w:noProof/>
        </w:rPr>
        <w:fldChar w:fldCharType="begin"/>
      </w:r>
      <w:r>
        <w:rPr>
          <w:noProof/>
        </w:rPr>
        <w:instrText xml:space="preserve"> PAGEREF _Toc471910836 \h </w:instrText>
      </w:r>
      <w:r>
        <w:rPr>
          <w:noProof/>
        </w:rPr>
      </w:r>
      <w:r>
        <w:rPr>
          <w:noProof/>
        </w:rPr>
        <w:fldChar w:fldCharType="separate"/>
      </w:r>
      <w:r>
        <w:rPr>
          <w:noProof/>
        </w:rPr>
        <w:t>40</w:t>
      </w:r>
      <w:r>
        <w:rPr>
          <w:noProof/>
        </w:rPr>
        <w:fldChar w:fldCharType="end"/>
      </w:r>
    </w:p>
    <w:p w14:paraId="0436111A" w14:textId="77777777" w:rsidR="00DB15E9" w:rsidRDefault="0078312E">
      <w:pPr>
        <w:pStyle w:val="TOC4"/>
        <w:rPr>
          <w:rFonts w:asciiTheme="minorHAnsi" w:eastAsiaTheme="minorEastAsia" w:hAnsiTheme="minorHAnsi" w:cstheme="minorBidi"/>
          <w:noProof/>
          <w:sz w:val="22"/>
          <w:szCs w:val="22"/>
        </w:rPr>
      </w:pPr>
      <w:r>
        <w:rPr>
          <w:noProof/>
        </w:rPr>
        <w:t>3.6.6.1</w:t>
      </w:r>
      <w:r>
        <w:rPr>
          <w:rFonts w:asciiTheme="minorHAnsi" w:eastAsiaTheme="minorEastAsia" w:hAnsiTheme="minorHAnsi" w:cstheme="minorBidi"/>
          <w:noProof/>
          <w:sz w:val="22"/>
          <w:szCs w:val="22"/>
        </w:rPr>
        <w:tab/>
      </w:r>
      <w:r>
        <w:rPr>
          <w:noProof/>
        </w:rPr>
        <w:t>Command (SAFE mode)</w:t>
      </w:r>
      <w:r>
        <w:rPr>
          <w:noProof/>
        </w:rPr>
        <w:tab/>
      </w:r>
      <w:r>
        <w:rPr>
          <w:noProof/>
        </w:rPr>
        <w:fldChar w:fldCharType="begin"/>
      </w:r>
      <w:r>
        <w:rPr>
          <w:noProof/>
        </w:rPr>
        <w:instrText xml:space="preserve"> PAGEREF _Toc471910837 \h </w:instrText>
      </w:r>
      <w:r>
        <w:rPr>
          <w:noProof/>
        </w:rPr>
      </w:r>
      <w:r>
        <w:rPr>
          <w:noProof/>
        </w:rPr>
        <w:fldChar w:fldCharType="separate"/>
      </w:r>
      <w:r>
        <w:rPr>
          <w:noProof/>
        </w:rPr>
        <w:t>41</w:t>
      </w:r>
      <w:r>
        <w:rPr>
          <w:noProof/>
        </w:rPr>
        <w:fldChar w:fldCharType="end"/>
      </w:r>
    </w:p>
    <w:p w14:paraId="293AD775" w14:textId="77777777" w:rsidR="00DB15E9" w:rsidRDefault="0078312E">
      <w:pPr>
        <w:pStyle w:val="TOC3"/>
        <w:rPr>
          <w:rFonts w:asciiTheme="minorHAnsi" w:eastAsiaTheme="minorEastAsia" w:hAnsiTheme="minorHAnsi" w:cstheme="minorBidi"/>
          <w:noProof/>
          <w:sz w:val="22"/>
        </w:rPr>
      </w:pPr>
      <w:r>
        <w:rPr>
          <w:noProof/>
        </w:rPr>
        <w:t>3.6.7</w:t>
      </w:r>
      <w:r>
        <w:rPr>
          <w:rFonts w:asciiTheme="minorHAnsi" w:eastAsiaTheme="minorEastAsia" w:hAnsiTheme="minorHAnsi" w:cstheme="minorBidi"/>
          <w:noProof/>
          <w:sz w:val="22"/>
        </w:rPr>
        <w:tab/>
      </w:r>
      <w:r>
        <w:rPr>
          <w:noProof/>
        </w:rPr>
        <w:t>Command (Data Flow Control)</w:t>
      </w:r>
      <w:r>
        <w:rPr>
          <w:noProof/>
        </w:rPr>
        <w:tab/>
      </w:r>
      <w:r>
        <w:rPr>
          <w:noProof/>
        </w:rPr>
        <w:fldChar w:fldCharType="begin"/>
      </w:r>
      <w:r>
        <w:rPr>
          <w:noProof/>
        </w:rPr>
        <w:instrText xml:space="preserve"> PAGEREF _Toc471910838 \h </w:instrText>
      </w:r>
      <w:r>
        <w:rPr>
          <w:noProof/>
        </w:rPr>
      </w:r>
      <w:r>
        <w:rPr>
          <w:noProof/>
        </w:rPr>
        <w:fldChar w:fldCharType="separate"/>
      </w:r>
      <w:r>
        <w:rPr>
          <w:noProof/>
        </w:rPr>
        <w:t>41</w:t>
      </w:r>
      <w:r>
        <w:rPr>
          <w:noProof/>
        </w:rPr>
        <w:fldChar w:fldCharType="end"/>
      </w:r>
    </w:p>
    <w:p w14:paraId="51686225" w14:textId="77777777" w:rsidR="00DB15E9" w:rsidRDefault="0078312E">
      <w:pPr>
        <w:pStyle w:val="TOC3"/>
        <w:rPr>
          <w:rFonts w:asciiTheme="minorHAnsi" w:eastAsiaTheme="minorEastAsia" w:hAnsiTheme="minorHAnsi" w:cstheme="minorBidi"/>
          <w:noProof/>
          <w:sz w:val="22"/>
        </w:rPr>
      </w:pPr>
      <w:r>
        <w:rPr>
          <w:noProof/>
        </w:rPr>
        <w:t>3.6.8</w:t>
      </w:r>
      <w:r>
        <w:rPr>
          <w:rFonts w:asciiTheme="minorHAnsi" w:eastAsiaTheme="minorEastAsia" w:hAnsiTheme="minorHAnsi" w:cstheme="minorBidi"/>
          <w:noProof/>
          <w:sz w:val="22"/>
        </w:rPr>
        <w:tab/>
      </w:r>
      <w:r>
        <w:rPr>
          <w:noProof/>
        </w:rPr>
        <w:t>Command (Acknowledgement)</w:t>
      </w:r>
      <w:r>
        <w:rPr>
          <w:noProof/>
        </w:rPr>
        <w:tab/>
      </w:r>
      <w:r>
        <w:rPr>
          <w:noProof/>
        </w:rPr>
        <w:fldChar w:fldCharType="begin"/>
      </w:r>
      <w:r>
        <w:rPr>
          <w:noProof/>
        </w:rPr>
        <w:instrText xml:space="preserve"> PAGEREF _Toc471910839 \h </w:instrText>
      </w:r>
      <w:r>
        <w:rPr>
          <w:noProof/>
        </w:rPr>
      </w:r>
      <w:r>
        <w:rPr>
          <w:noProof/>
        </w:rPr>
        <w:fldChar w:fldCharType="separate"/>
      </w:r>
      <w:r>
        <w:rPr>
          <w:noProof/>
        </w:rPr>
        <w:t>41</w:t>
      </w:r>
      <w:r>
        <w:rPr>
          <w:noProof/>
        </w:rPr>
        <w:fldChar w:fldCharType="end"/>
      </w:r>
    </w:p>
    <w:p w14:paraId="2C89F996" w14:textId="77777777" w:rsidR="00DB15E9" w:rsidRDefault="0078312E">
      <w:pPr>
        <w:pStyle w:val="TOC2"/>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Electrical Power System</w:t>
      </w:r>
      <w:r>
        <w:tab/>
      </w:r>
      <w:r>
        <w:fldChar w:fldCharType="begin"/>
      </w:r>
      <w:r>
        <w:instrText xml:space="preserve"> PAGEREF _Toc471910840 \h </w:instrText>
      </w:r>
      <w:r>
        <w:fldChar w:fldCharType="separate"/>
      </w:r>
      <w:r>
        <w:t>41</w:t>
      </w:r>
      <w:r>
        <w:fldChar w:fldCharType="end"/>
      </w:r>
    </w:p>
    <w:p w14:paraId="4438C8A8" w14:textId="77777777" w:rsidR="00DB15E9" w:rsidRDefault="0078312E">
      <w:pPr>
        <w:pStyle w:val="TOC3"/>
        <w:rPr>
          <w:rFonts w:asciiTheme="minorHAnsi" w:eastAsiaTheme="minorEastAsia" w:hAnsiTheme="minorHAnsi" w:cstheme="minorBidi"/>
          <w:noProof/>
          <w:sz w:val="22"/>
        </w:rPr>
      </w:pPr>
      <w:r>
        <w:rPr>
          <w:noProof/>
        </w:rPr>
        <w:t>3.7.1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_Toc471910841 \h </w:instrText>
      </w:r>
      <w:r>
        <w:rPr>
          <w:noProof/>
        </w:rPr>
      </w:r>
      <w:r>
        <w:rPr>
          <w:noProof/>
        </w:rPr>
        <w:fldChar w:fldCharType="separate"/>
      </w:r>
      <w:r>
        <w:rPr>
          <w:noProof/>
        </w:rPr>
        <w:t>41</w:t>
      </w:r>
      <w:r>
        <w:rPr>
          <w:noProof/>
        </w:rPr>
        <w:fldChar w:fldCharType="end"/>
      </w:r>
    </w:p>
    <w:p w14:paraId="5176B4B7" w14:textId="77777777" w:rsidR="00DB15E9" w:rsidRDefault="0078312E">
      <w:pPr>
        <w:pStyle w:val="TOC3"/>
        <w:rPr>
          <w:rFonts w:asciiTheme="minorHAnsi" w:eastAsiaTheme="minorEastAsia" w:hAnsiTheme="minorHAnsi" w:cstheme="minorBidi"/>
          <w:noProof/>
          <w:sz w:val="22"/>
        </w:rPr>
      </w:pPr>
      <w:r>
        <w:rPr>
          <w:noProof/>
        </w:rPr>
        <w:t>3.7.2</w:t>
      </w:r>
      <w:r>
        <w:rPr>
          <w:rFonts w:asciiTheme="minorHAnsi" w:eastAsiaTheme="minorEastAsia" w:hAnsiTheme="minorHAnsi" w:cstheme="minorBidi"/>
          <w:noProof/>
          <w:sz w:val="22"/>
        </w:rPr>
        <w:tab/>
      </w:r>
      <w:r>
        <w:rPr>
          <w:noProof/>
        </w:rPr>
        <w:t>Grounding</w:t>
      </w:r>
      <w:r>
        <w:rPr>
          <w:noProof/>
        </w:rPr>
        <w:tab/>
      </w:r>
      <w:r>
        <w:rPr>
          <w:noProof/>
        </w:rPr>
        <w:fldChar w:fldCharType="begin"/>
      </w:r>
      <w:r>
        <w:rPr>
          <w:noProof/>
        </w:rPr>
        <w:instrText xml:space="preserve"> PAGEREF _Toc471910842 \h </w:instrText>
      </w:r>
      <w:r>
        <w:rPr>
          <w:noProof/>
        </w:rPr>
      </w:r>
      <w:r>
        <w:rPr>
          <w:noProof/>
        </w:rPr>
        <w:fldChar w:fldCharType="separate"/>
      </w:r>
      <w:r>
        <w:rPr>
          <w:noProof/>
        </w:rPr>
        <w:t>43</w:t>
      </w:r>
      <w:r>
        <w:rPr>
          <w:noProof/>
        </w:rPr>
        <w:fldChar w:fldCharType="end"/>
      </w:r>
    </w:p>
    <w:p w14:paraId="51FFA898" w14:textId="77777777" w:rsidR="00DB15E9" w:rsidRDefault="0078312E">
      <w:pPr>
        <w:pStyle w:val="TOC4"/>
        <w:rPr>
          <w:rFonts w:asciiTheme="minorHAnsi" w:eastAsiaTheme="minorEastAsia" w:hAnsiTheme="minorHAnsi" w:cstheme="minorBidi"/>
          <w:noProof/>
          <w:sz w:val="22"/>
          <w:szCs w:val="22"/>
        </w:rPr>
      </w:pPr>
      <w:r>
        <w:rPr>
          <w:noProof/>
        </w:rPr>
        <w:t>3.7.2.1</w:t>
      </w:r>
      <w:r>
        <w:rPr>
          <w:rFonts w:asciiTheme="minorHAnsi" w:eastAsiaTheme="minorEastAsia" w:hAnsiTheme="minorHAnsi" w:cstheme="minorBidi"/>
          <w:noProof/>
          <w:sz w:val="22"/>
          <w:szCs w:val="22"/>
        </w:rPr>
        <w:tab/>
      </w:r>
      <w:r>
        <w:rPr>
          <w:noProof/>
        </w:rPr>
        <w:t>Grounding Documentation</w:t>
      </w:r>
      <w:r>
        <w:rPr>
          <w:noProof/>
        </w:rPr>
        <w:tab/>
      </w:r>
      <w:r>
        <w:rPr>
          <w:noProof/>
        </w:rPr>
        <w:fldChar w:fldCharType="begin"/>
      </w:r>
      <w:r>
        <w:rPr>
          <w:noProof/>
        </w:rPr>
        <w:instrText xml:space="preserve"> PAGEREF _Toc471910843 \h </w:instrText>
      </w:r>
      <w:r>
        <w:rPr>
          <w:noProof/>
        </w:rPr>
      </w:r>
      <w:r>
        <w:rPr>
          <w:noProof/>
        </w:rPr>
        <w:fldChar w:fldCharType="separate"/>
      </w:r>
      <w:r>
        <w:rPr>
          <w:noProof/>
        </w:rPr>
        <w:t>43</w:t>
      </w:r>
      <w:r>
        <w:rPr>
          <w:noProof/>
        </w:rPr>
        <w:fldChar w:fldCharType="end"/>
      </w:r>
    </w:p>
    <w:p w14:paraId="57F3C06F" w14:textId="77777777" w:rsidR="00DB15E9" w:rsidRDefault="0078312E">
      <w:pPr>
        <w:pStyle w:val="TOC3"/>
        <w:rPr>
          <w:rFonts w:asciiTheme="minorHAnsi" w:eastAsiaTheme="minorEastAsia" w:hAnsiTheme="minorHAnsi" w:cstheme="minorBidi"/>
          <w:noProof/>
          <w:sz w:val="22"/>
        </w:rPr>
      </w:pPr>
      <w:r>
        <w:rPr>
          <w:noProof/>
        </w:rPr>
        <w:t>3.7.3</w:t>
      </w:r>
      <w:r>
        <w:rPr>
          <w:rFonts w:asciiTheme="minorHAnsi" w:eastAsiaTheme="minorEastAsia" w:hAnsiTheme="minorHAnsi" w:cstheme="minorBidi"/>
          <w:noProof/>
          <w:sz w:val="22"/>
        </w:rPr>
        <w:tab/>
      </w:r>
      <w:r>
        <w:rPr>
          <w:noProof/>
        </w:rPr>
        <w:t>Electrical Power Return</w:t>
      </w:r>
      <w:r>
        <w:rPr>
          <w:noProof/>
        </w:rPr>
        <w:tab/>
      </w:r>
      <w:r>
        <w:rPr>
          <w:noProof/>
        </w:rPr>
        <w:fldChar w:fldCharType="begin"/>
      </w:r>
      <w:r>
        <w:rPr>
          <w:noProof/>
        </w:rPr>
        <w:instrText xml:space="preserve"> PAGEREF _Toc471910844 \h </w:instrText>
      </w:r>
      <w:r>
        <w:rPr>
          <w:noProof/>
        </w:rPr>
      </w:r>
      <w:r>
        <w:rPr>
          <w:noProof/>
        </w:rPr>
        <w:fldChar w:fldCharType="separate"/>
      </w:r>
      <w:r>
        <w:rPr>
          <w:noProof/>
        </w:rPr>
        <w:t>43</w:t>
      </w:r>
      <w:r>
        <w:rPr>
          <w:noProof/>
        </w:rPr>
        <w:fldChar w:fldCharType="end"/>
      </w:r>
    </w:p>
    <w:p w14:paraId="3D2A4DC6" w14:textId="77777777" w:rsidR="00DB15E9" w:rsidRDefault="0078312E">
      <w:pPr>
        <w:pStyle w:val="TOC3"/>
        <w:rPr>
          <w:rFonts w:asciiTheme="minorHAnsi" w:eastAsiaTheme="minorEastAsia" w:hAnsiTheme="minorHAnsi" w:cstheme="minorBidi"/>
          <w:noProof/>
          <w:sz w:val="22"/>
        </w:rPr>
      </w:pPr>
      <w:r>
        <w:rPr>
          <w:noProof/>
        </w:rPr>
        <w:t>3.7.4</w:t>
      </w:r>
      <w:r>
        <w:rPr>
          <w:rFonts w:asciiTheme="minorHAnsi" w:eastAsiaTheme="minorEastAsia" w:hAnsiTheme="minorHAnsi" w:cstheme="minorBidi"/>
          <w:noProof/>
          <w:sz w:val="22"/>
        </w:rPr>
        <w:tab/>
      </w:r>
      <w:r>
        <w:rPr>
          <w:noProof/>
        </w:rPr>
        <w:t>Accommodation</w:t>
      </w:r>
      <w:r>
        <w:rPr>
          <w:noProof/>
        </w:rPr>
        <w:tab/>
      </w:r>
      <w:r>
        <w:rPr>
          <w:noProof/>
        </w:rPr>
        <w:fldChar w:fldCharType="begin"/>
      </w:r>
      <w:r>
        <w:rPr>
          <w:noProof/>
        </w:rPr>
        <w:instrText xml:space="preserve"> PAGEREF _Toc471910845 \h </w:instrText>
      </w:r>
      <w:r>
        <w:rPr>
          <w:noProof/>
        </w:rPr>
      </w:r>
      <w:r>
        <w:rPr>
          <w:noProof/>
        </w:rPr>
        <w:fldChar w:fldCharType="separate"/>
      </w:r>
      <w:r>
        <w:rPr>
          <w:noProof/>
        </w:rPr>
        <w:t>44</w:t>
      </w:r>
      <w:r>
        <w:rPr>
          <w:noProof/>
        </w:rPr>
        <w:fldChar w:fldCharType="end"/>
      </w:r>
    </w:p>
    <w:p w14:paraId="1AF66A8A" w14:textId="77777777" w:rsidR="00DB15E9" w:rsidRDefault="0078312E">
      <w:pPr>
        <w:pStyle w:val="TOC3"/>
        <w:rPr>
          <w:rFonts w:asciiTheme="minorHAnsi" w:eastAsiaTheme="minorEastAsia" w:hAnsiTheme="minorHAnsi" w:cstheme="minorBidi"/>
          <w:noProof/>
          <w:sz w:val="22"/>
        </w:rPr>
      </w:pPr>
      <w:r>
        <w:rPr>
          <w:noProof/>
        </w:rPr>
        <w:t>3.7.5</w:t>
      </w:r>
      <w:r>
        <w:rPr>
          <w:rFonts w:asciiTheme="minorHAnsi" w:eastAsiaTheme="minorEastAsia" w:hAnsiTheme="minorHAnsi" w:cstheme="minorBidi"/>
          <w:noProof/>
          <w:sz w:val="22"/>
        </w:rPr>
        <w:tab/>
      </w:r>
      <w:r>
        <w:rPr>
          <w:noProof/>
        </w:rPr>
        <w:t>Voltage</w:t>
      </w:r>
      <w:r>
        <w:rPr>
          <w:noProof/>
        </w:rPr>
        <w:tab/>
      </w:r>
      <w:r>
        <w:rPr>
          <w:noProof/>
        </w:rPr>
        <w:fldChar w:fldCharType="begin"/>
      </w:r>
      <w:r>
        <w:rPr>
          <w:noProof/>
        </w:rPr>
        <w:instrText xml:space="preserve"> PAGEREF _Toc471910846 \h </w:instrText>
      </w:r>
      <w:r>
        <w:rPr>
          <w:noProof/>
        </w:rPr>
      </w:r>
      <w:r>
        <w:rPr>
          <w:noProof/>
        </w:rPr>
        <w:fldChar w:fldCharType="separate"/>
      </w:r>
      <w:r>
        <w:rPr>
          <w:noProof/>
        </w:rPr>
        <w:t>44</w:t>
      </w:r>
      <w:r>
        <w:rPr>
          <w:noProof/>
        </w:rPr>
        <w:fldChar w:fldCharType="end"/>
      </w:r>
    </w:p>
    <w:p w14:paraId="7A620027" w14:textId="77777777" w:rsidR="00DB15E9" w:rsidRDefault="0078312E">
      <w:pPr>
        <w:pStyle w:val="TOC3"/>
        <w:rPr>
          <w:rFonts w:asciiTheme="minorHAnsi" w:eastAsiaTheme="minorEastAsia" w:hAnsiTheme="minorHAnsi" w:cstheme="minorBidi"/>
          <w:noProof/>
          <w:sz w:val="22"/>
        </w:rPr>
      </w:pPr>
      <w:r>
        <w:rPr>
          <w:noProof/>
        </w:rPr>
        <w:t>3.7.6</w:t>
      </w:r>
      <w:r>
        <w:rPr>
          <w:rFonts w:asciiTheme="minorHAnsi" w:eastAsiaTheme="minorEastAsia" w:hAnsiTheme="minorHAnsi" w:cstheme="minorBidi"/>
          <w:noProof/>
          <w:sz w:val="22"/>
        </w:rPr>
        <w:tab/>
      </w:r>
      <w:r>
        <w:rPr>
          <w:noProof/>
        </w:rPr>
        <w:t>Resistance power</w:t>
      </w:r>
      <w:r>
        <w:rPr>
          <w:noProof/>
        </w:rPr>
        <w:tab/>
      </w:r>
      <w:r>
        <w:rPr>
          <w:noProof/>
        </w:rPr>
        <w:fldChar w:fldCharType="begin"/>
      </w:r>
      <w:r>
        <w:rPr>
          <w:noProof/>
        </w:rPr>
        <w:instrText xml:space="preserve"> PAGEREF _Toc471910847 \h </w:instrText>
      </w:r>
      <w:r>
        <w:rPr>
          <w:noProof/>
        </w:rPr>
      </w:r>
      <w:r>
        <w:rPr>
          <w:noProof/>
        </w:rPr>
        <w:fldChar w:fldCharType="separate"/>
      </w:r>
      <w:r>
        <w:rPr>
          <w:noProof/>
        </w:rPr>
        <w:t>44</w:t>
      </w:r>
      <w:r>
        <w:rPr>
          <w:noProof/>
        </w:rPr>
        <w:fldChar w:fldCharType="end"/>
      </w:r>
    </w:p>
    <w:p w14:paraId="1CACD813" w14:textId="77777777" w:rsidR="00DB15E9" w:rsidRDefault="0078312E">
      <w:pPr>
        <w:pStyle w:val="TOC3"/>
        <w:rPr>
          <w:rFonts w:asciiTheme="minorHAnsi" w:eastAsiaTheme="minorEastAsia" w:hAnsiTheme="minorHAnsi" w:cstheme="minorBidi"/>
          <w:noProof/>
          <w:sz w:val="22"/>
        </w:rPr>
      </w:pPr>
      <w:r>
        <w:rPr>
          <w:noProof/>
        </w:rPr>
        <w:t>3.7.7</w:t>
      </w:r>
      <w:r>
        <w:rPr>
          <w:rFonts w:asciiTheme="minorHAnsi" w:eastAsiaTheme="minorEastAsia" w:hAnsiTheme="minorHAnsi" w:cstheme="minorBidi"/>
          <w:noProof/>
          <w:sz w:val="22"/>
        </w:rPr>
        <w:tab/>
      </w:r>
      <w:r>
        <w:rPr>
          <w:noProof/>
        </w:rPr>
        <w:t>Power Bus Interface</w:t>
      </w:r>
      <w:r>
        <w:rPr>
          <w:noProof/>
        </w:rPr>
        <w:tab/>
      </w:r>
      <w:r>
        <w:rPr>
          <w:noProof/>
        </w:rPr>
        <w:fldChar w:fldCharType="begin"/>
      </w:r>
      <w:r>
        <w:rPr>
          <w:noProof/>
        </w:rPr>
        <w:instrText xml:space="preserve"> PAGEREF _Toc471910848 \h </w:instrText>
      </w:r>
      <w:r>
        <w:rPr>
          <w:noProof/>
        </w:rPr>
      </w:r>
      <w:r>
        <w:rPr>
          <w:noProof/>
        </w:rPr>
        <w:fldChar w:fldCharType="separate"/>
      </w:r>
      <w:r>
        <w:rPr>
          <w:noProof/>
        </w:rPr>
        <w:t>44</w:t>
      </w:r>
      <w:r>
        <w:rPr>
          <w:noProof/>
        </w:rPr>
        <w:fldChar w:fldCharType="end"/>
      </w:r>
    </w:p>
    <w:p w14:paraId="2DEA06C7" w14:textId="77777777" w:rsidR="00DB15E9" w:rsidRDefault="0078312E">
      <w:pPr>
        <w:pStyle w:val="TOC3"/>
        <w:rPr>
          <w:rFonts w:asciiTheme="minorHAnsi" w:eastAsiaTheme="minorEastAsia" w:hAnsiTheme="minorHAnsi" w:cstheme="minorBidi"/>
          <w:noProof/>
          <w:sz w:val="22"/>
        </w:rPr>
      </w:pPr>
      <w:r>
        <w:rPr>
          <w:noProof/>
        </w:rPr>
        <w:t>3.7.8</w:t>
      </w:r>
      <w:r>
        <w:rPr>
          <w:rFonts w:asciiTheme="minorHAnsi" w:eastAsiaTheme="minorEastAsia" w:hAnsiTheme="minorHAnsi" w:cstheme="minorBidi"/>
          <w:noProof/>
          <w:sz w:val="22"/>
        </w:rPr>
        <w:tab/>
      </w:r>
      <w:r>
        <w:rPr>
          <w:noProof/>
        </w:rPr>
        <w:t>Survival Heater Bus Interface</w:t>
      </w:r>
      <w:r>
        <w:rPr>
          <w:noProof/>
        </w:rPr>
        <w:tab/>
      </w:r>
      <w:r>
        <w:rPr>
          <w:noProof/>
        </w:rPr>
        <w:fldChar w:fldCharType="begin"/>
      </w:r>
      <w:r>
        <w:rPr>
          <w:noProof/>
        </w:rPr>
        <w:instrText xml:space="preserve"> PAGEREF _Toc471910849 \h </w:instrText>
      </w:r>
      <w:r>
        <w:rPr>
          <w:noProof/>
        </w:rPr>
      </w:r>
      <w:r>
        <w:rPr>
          <w:noProof/>
        </w:rPr>
        <w:fldChar w:fldCharType="separate"/>
      </w:r>
      <w:r>
        <w:rPr>
          <w:noProof/>
        </w:rPr>
        <w:t>45</w:t>
      </w:r>
      <w:r>
        <w:rPr>
          <w:noProof/>
        </w:rPr>
        <w:fldChar w:fldCharType="end"/>
      </w:r>
    </w:p>
    <w:p w14:paraId="0612CAC7" w14:textId="77777777" w:rsidR="00DB15E9" w:rsidRDefault="0078312E">
      <w:pPr>
        <w:pStyle w:val="TOC3"/>
        <w:rPr>
          <w:rFonts w:asciiTheme="minorHAnsi" w:eastAsiaTheme="minorEastAsia" w:hAnsiTheme="minorHAnsi" w:cstheme="minorBidi"/>
          <w:noProof/>
          <w:sz w:val="22"/>
        </w:rPr>
      </w:pPr>
      <w:r>
        <w:rPr>
          <w:noProof/>
        </w:rPr>
        <w:t>3.7.9</w:t>
      </w:r>
      <w:r>
        <w:rPr>
          <w:rFonts w:asciiTheme="minorHAnsi" w:eastAsiaTheme="minorEastAsia" w:hAnsiTheme="minorHAnsi" w:cstheme="minorBidi"/>
          <w:noProof/>
          <w:sz w:val="22"/>
        </w:rPr>
        <w:tab/>
      </w:r>
      <w:r>
        <w:rPr>
          <w:noProof/>
        </w:rPr>
        <w:t>Bonding</w:t>
      </w:r>
      <w:r>
        <w:rPr>
          <w:noProof/>
        </w:rPr>
        <w:tab/>
      </w:r>
      <w:r>
        <w:rPr>
          <w:noProof/>
        </w:rPr>
        <w:fldChar w:fldCharType="begin"/>
      </w:r>
      <w:r>
        <w:rPr>
          <w:noProof/>
        </w:rPr>
        <w:instrText xml:space="preserve"> PAGEREF _Toc471910850 \h </w:instrText>
      </w:r>
      <w:r>
        <w:rPr>
          <w:noProof/>
        </w:rPr>
      </w:r>
      <w:r>
        <w:rPr>
          <w:noProof/>
        </w:rPr>
        <w:fldChar w:fldCharType="separate"/>
      </w:r>
      <w:r>
        <w:rPr>
          <w:noProof/>
        </w:rPr>
        <w:t>45</w:t>
      </w:r>
      <w:r>
        <w:rPr>
          <w:noProof/>
        </w:rPr>
        <w:fldChar w:fldCharType="end"/>
      </w:r>
    </w:p>
    <w:p w14:paraId="19F9D68A" w14:textId="77777777" w:rsidR="00DB15E9" w:rsidRDefault="0078312E">
      <w:pPr>
        <w:pStyle w:val="TOC3"/>
        <w:rPr>
          <w:rFonts w:asciiTheme="minorHAnsi" w:eastAsiaTheme="minorEastAsia" w:hAnsiTheme="minorHAnsi" w:cstheme="minorBidi"/>
          <w:noProof/>
          <w:sz w:val="22"/>
        </w:rPr>
      </w:pPr>
      <w:r>
        <w:rPr>
          <w:noProof/>
        </w:rPr>
        <w:t>3.7.10</w:t>
      </w:r>
      <w:r>
        <w:rPr>
          <w:rFonts w:asciiTheme="minorHAnsi" w:eastAsiaTheme="minorEastAsia" w:hAnsiTheme="minorHAnsi" w:cstheme="minorBidi"/>
          <w:noProof/>
          <w:sz w:val="22"/>
        </w:rPr>
        <w:tab/>
      </w:r>
      <w:r>
        <w:rPr>
          <w:noProof/>
        </w:rPr>
        <w:t>Mitigation of In-Space Charging Effects</w:t>
      </w:r>
      <w:r>
        <w:rPr>
          <w:noProof/>
        </w:rPr>
        <w:tab/>
      </w:r>
      <w:r>
        <w:rPr>
          <w:noProof/>
        </w:rPr>
        <w:fldChar w:fldCharType="begin"/>
      </w:r>
      <w:r>
        <w:rPr>
          <w:noProof/>
        </w:rPr>
        <w:instrText xml:space="preserve"> PAGEREF _Toc471910851 \h </w:instrText>
      </w:r>
      <w:r>
        <w:rPr>
          <w:noProof/>
        </w:rPr>
      </w:r>
      <w:r>
        <w:rPr>
          <w:noProof/>
        </w:rPr>
        <w:fldChar w:fldCharType="separate"/>
      </w:r>
      <w:r>
        <w:rPr>
          <w:noProof/>
        </w:rPr>
        <w:t>45</w:t>
      </w:r>
      <w:r>
        <w:rPr>
          <w:noProof/>
        </w:rPr>
        <w:fldChar w:fldCharType="end"/>
      </w:r>
    </w:p>
    <w:p w14:paraId="20A81FFC" w14:textId="77777777" w:rsidR="00DB15E9" w:rsidRDefault="0078312E">
      <w:pPr>
        <w:pStyle w:val="TOC3"/>
        <w:rPr>
          <w:rFonts w:asciiTheme="minorHAnsi" w:eastAsiaTheme="minorEastAsia" w:hAnsiTheme="minorHAnsi" w:cstheme="minorBidi"/>
          <w:noProof/>
          <w:sz w:val="22"/>
        </w:rPr>
      </w:pPr>
      <w:r>
        <w:rPr>
          <w:noProof/>
        </w:rPr>
        <w:t>3.7.11</w:t>
      </w:r>
      <w:r>
        <w:rPr>
          <w:rFonts w:asciiTheme="minorHAnsi" w:eastAsiaTheme="minorEastAsia" w:hAnsiTheme="minorHAnsi" w:cstheme="minorBidi"/>
          <w:noProof/>
          <w:sz w:val="22"/>
        </w:rPr>
        <w:tab/>
      </w:r>
      <w:r>
        <w:rPr>
          <w:noProof/>
        </w:rPr>
        <w:t>Instrument Harnessing</w:t>
      </w:r>
      <w:r>
        <w:rPr>
          <w:noProof/>
        </w:rPr>
        <w:tab/>
      </w:r>
      <w:r>
        <w:rPr>
          <w:noProof/>
        </w:rPr>
        <w:fldChar w:fldCharType="begin"/>
      </w:r>
      <w:r>
        <w:rPr>
          <w:noProof/>
        </w:rPr>
        <w:instrText xml:space="preserve"> PAGEREF _Toc471910852 \h </w:instrText>
      </w:r>
      <w:r>
        <w:rPr>
          <w:noProof/>
        </w:rPr>
      </w:r>
      <w:r>
        <w:rPr>
          <w:noProof/>
        </w:rPr>
        <w:fldChar w:fldCharType="separate"/>
      </w:r>
      <w:r>
        <w:rPr>
          <w:noProof/>
        </w:rPr>
        <w:t>45</w:t>
      </w:r>
      <w:r>
        <w:rPr>
          <w:noProof/>
        </w:rPr>
        <w:fldChar w:fldCharType="end"/>
      </w:r>
    </w:p>
    <w:p w14:paraId="6CDFD4B2" w14:textId="77777777" w:rsidR="00DB15E9" w:rsidRDefault="0078312E">
      <w:pPr>
        <w:pStyle w:val="TOC4"/>
        <w:rPr>
          <w:rFonts w:asciiTheme="minorHAnsi" w:eastAsiaTheme="minorEastAsia" w:hAnsiTheme="minorHAnsi" w:cstheme="minorBidi"/>
          <w:noProof/>
          <w:sz w:val="22"/>
          <w:szCs w:val="22"/>
        </w:rPr>
      </w:pPr>
      <w:r>
        <w:rPr>
          <w:noProof/>
        </w:rPr>
        <w:t>3.7.11.1</w:t>
      </w:r>
      <w:r>
        <w:rPr>
          <w:rFonts w:asciiTheme="minorHAnsi" w:eastAsiaTheme="minorEastAsia" w:hAnsiTheme="minorHAnsi" w:cstheme="minorBidi"/>
          <w:noProof/>
          <w:sz w:val="22"/>
          <w:szCs w:val="22"/>
        </w:rPr>
        <w:tab/>
      </w:r>
      <w:r>
        <w:rPr>
          <w:noProof/>
        </w:rPr>
        <w:t>Harness Documentation</w:t>
      </w:r>
      <w:r>
        <w:rPr>
          <w:noProof/>
        </w:rPr>
        <w:tab/>
      </w:r>
      <w:r>
        <w:rPr>
          <w:noProof/>
        </w:rPr>
        <w:fldChar w:fldCharType="begin"/>
      </w:r>
      <w:r>
        <w:rPr>
          <w:noProof/>
        </w:rPr>
        <w:instrText xml:space="preserve"> PAGEREF _Toc471910853 \h </w:instrText>
      </w:r>
      <w:r>
        <w:rPr>
          <w:noProof/>
        </w:rPr>
      </w:r>
      <w:r>
        <w:rPr>
          <w:noProof/>
        </w:rPr>
        <w:fldChar w:fldCharType="separate"/>
      </w:r>
      <w:r>
        <w:rPr>
          <w:noProof/>
        </w:rPr>
        <w:t>45</w:t>
      </w:r>
      <w:r>
        <w:rPr>
          <w:noProof/>
        </w:rPr>
        <w:fldChar w:fldCharType="end"/>
      </w:r>
    </w:p>
    <w:p w14:paraId="61EF9BCF" w14:textId="77777777" w:rsidR="00DB15E9" w:rsidRDefault="0078312E">
      <w:pPr>
        <w:pStyle w:val="TOC3"/>
        <w:rPr>
          <w:rFonts w:asciiTheme="minorHAnsi" w:eastAsiaTheme="minorEastAsia" w:hAnsiTheme="minorHAnsi" w:cstheme="minorBidi"/>
          <w:noProof/>
          <w:sz w:val="22"/>
        </w:rPr>
      </w:pPr>
      <w:r>
        <w:rPr>
          <w:noProof/>
        </w:rPr>
        <w:t>3.7.12</w:t>
      </w:r>
      <w:r>
        <w:rPr>
          <w:rFonts w:asciiTheme="minorHAnsi" w:eastAsiaTheme="minorEastAsia" w:hAnsiTheme="minorHAnsi" w:cstheme="minorBidi"/>
          <w:noProof/>
          <w:sz w:val="22"/>
        </w:rPr>
        <w:tab/>
      </w:r>
      <w:r>
        <w:rPr>
          <w:noProof/>
        </w:rPr>
        <w:t>EPS Accommodation</w:t>
      </w:r>
      <w:r>
        <w:rPr>
          <w:noProof/>
        </w:rPr>
        <w:tab/>
      </w:r>
      <w:r>
        <w:rPr>
          <w:noProof/>
        </w:rPr>
        <w:fldChar w:fldCharType="begin"/>
      </w:r>
      <w:r>
        <w:rPr>
          <w:noProof/>
        </w:rPr>
        <w:instrText xml:space="preserve"> PAGEREF _Toc471910854 \h </w:instrText>
      </w:r>
      <w:r>
        <w:rPr>
          <w:noProof/>
        </w:rPr>
      </w:r>
      <w:r>
        <w:rPr>
          <w:noProof/>
        </w:rPr>
        <w:fldChar w:fldCharType="separate"/>
      </w:r>
      <w:r>
        <w:rPr>
          <w:noProof/>
        </w:rPr>
        <w:t>45</w:t>
      </w:r>
      <w:r>
        <w:rPr>
          <w:noProof/>
        </w:rPr>
        <w:fldChar w:fldCharType="end"/>
      </w:r>
    </w:p>
    <w:p w14:paraId="40394AD0" w14:textId="77777777" w:rsidR="00DB15E9" w:rsidRDefault="0078312E">
      <w:pPr>
        <w:pStyle w:val="TOC4"/>
        <w:rPr>
          <w:rFonts w:asciiTheme="minorHAnsi" w:eastAsiaTheme="minorEastAsia" w:hAnsiTheme="minorHAnsi" w:cstheme="minorBidi"/>
          <w:noProof/>
          <w:sz w:val="22"/>
          <w:szCs w:val="22"/>
        </w:rPr>
      </w:pPr>
      <w:r>
        <w:rPr>
          <w:noProof/>
        </w:rPr>
        <w:t>3.7.12.1</w:t>
      </w:r>
      <w:r>
        <w:rPr>
          <w:rFonts w:asciiTheme="minorHAnsi" w:eastAsiaTheme="minorEastAsia" w:hAnsiTheme="minorHAnsi" w:cstheme="minorBidi"/>
          <w:noProof/>
          <w:sz w:val="22"/>
          <w:szCs w:val="22"/>
        </w:rPr>
        <w:tab/>
      </w:r>
      <w:r>
        <w:rPr>
          <w:noProof/>
        </w:rPr>
        <w:t>Definitions:</w:t>
      </w:r>
      <w:r>
        <w:rPr>
          <w:noProof/>
        </w:rPr>
        <w:tab/>
      </w:r>
      <w:r>
        <w:rPr>
          <w:noProof/>
        </w:rPr>
        <w:fldChar w:fldCharType="begin"/>
      </w:r>
      <w:r>
        <w:rPr>
          <w:noProof/>
        </w:rPr>
        <w:instrText xml:space="preserve"> PAGEREF _Toc471910855 \h </w:instrText>
      </w:r>
      <w:r>
        <w:rPr>
          <w:noProof/>
        </w:rPr>
      </w:r>
      <w:r>
        <w:rPr>
          <w:noProof/>
        </w:rPr>
        <w:fldChar w:fldCharType="separate"/>
      </w:r>
      <w:r>
        <w:rPr>
          <w:noProof/>
        </w:rPr>
        <w:t>46</w:t>
      </w:r>
      <w:r>
        <w:rPr>
          <w:noProof/>
        </w:rPr>
        <w:fldChar w:fldCharType="end"/>
      </w:r>
    </w:p>
    <w:p w14:paraId="70F7D5A4" w14:textId="77777777" w:rsidR="00DB15E9" w:rsidRDefault="0078312E">
      <w:pPr>
        <w:pStyle w:val="TOC4"/>
        <w:rPr>
          <w:rFonts w:asciiTheme="minorHAnsi" w:eastAsiaTheme="minorEastAsia" w:hAnsiTheme="minorHAnsi" w:cstheme="minorBidi"/>
          <w:noProof/>
          <w:sz w:val="22"/>
          <w:szCs w:val="22"/>
        </w:rPr>
      </w:pPr>
      <w:r>
        <w:rPr>
          <w:noProof/>
        </w:rPr>
        <w:t>3.7.12.2</w:t>
      </w:r>
      <w:r>
        <w:rPr>
          <w:rFonts w:asciiTheme="minorHAnsi" w:eastAsiaTheme="minorEastAsia" w:hAnsiTheme="minorHAnsi" w:cstheme="minorBidi"/>
          <w:noProof/>
          <w:sz w:val="22"/>
          <w:szCs w:val="22"/>
        </w:rPr>
        <w:tab/>
      </w:r>
      <w:r>
        <w:rPr>
          <w:noProof/>
        </w:rPr>
        <w:t>Instrument Power Harness</w:t>
      </w:r>
      <w:r>
        <w:rPr>
          <w:noProof/>
        </w:rPr>
        <w:tab/>
      </w:r>
      <w:r>
        <w:rPr>
          <w:noProof/>
        </w:rPr>
        <w:fldChar w:fldCharType="begin"/>
      </w:r>
      <w:r>
        <w:rPr>
          <w:noProof/>
        </w:rPr>
        <w:instrText xml:space="preserve"> PAGEREF _Toc471910856 \h </w:instrText>
      </w:r>
      <w:r>
        <w:rPr>
          <w:noProof/>
        </w:rPr>
      </w:r>
      <w:r>
        <w:rPr>
          <w:noProof/>
        </w:rPr>
        <w:fldChar w:fldCharType="separate"/>
      </w:r>
      <w:r>
        <w:rPr>
          <w:noProof/>
        </w:rPr>
        <w:t>46</w:t>
      </w:r>
      <w:r>
        <w:rPr>
          <w:noProof/>
        </w:rPr>
        <w:fldChar w:fldCharType="end"/>
      </w:r>
    </w:p>
    <w:p w14:paraId="6ECBEABD" w14:textId="77777777" w:rsidR="00DB15E9" w:rsidRDefault="0078312E">
      <w:pPr>
        <w:pStyle w:val="TOC4"/>
        <w:rPr>
          <w:rFonts w:asciiTheme="minorHAnsi" w:eastAsiaTheme="minorEastAsia" w:hAnsiTheme="minorHAnsi" w:cstheme="minorBidi"/>
          <w:noProof/>
          <w:sz w:val="22"/>
          <w:szCs w:val="22"/>
        </w:rPr>
      </w:pPr>
      <w:r>
        <w:rPr>
          <w:noProof/>
        </w:rPr>
        <w:t>3.7.12.3</w:t>
      </w:r>
      <w:r>
        <w:rPr>
          <w:rFonts w:asciiTheme="minorHAnsi" w:eastAsiaTheme="minorEastAsia" w:hAnsiTheme="minorHAnsi" w:cstheme="minorBidi"/>
          <w:noProof/>
          <w:sz w:val="22"/>
          <w:szCs w:val="22"/>
        </w:rPr>
        <w:tab/>
      </w:r>
      <w:r>
        <w:rPr>
          <w:noProof/>
        </w:rPr>
        <w:t>Allocation of Instrument Power</w:t>
      </w:r>
      <w:r>
        <w:rPr>
          <w:noProof/>
        </w:rPr>
        <w:tab/>
      </w:r>
      <w:r>
        <w:rPr>
          <w:noProof/>
        </w:rPr>
        <w:fldChar w:fldCharType="begin"/>
      </w:r>
      <w:r>
        <w:rPr>
          <w:noProof/>
        </w:rPr>
        <w:instrText xml:space="preserve"> PAGEREF _Toc471910857 \h </w:instrText>
      </w:r>
      <w:r>
        <w:rPr>
          <w:noProof/>
        </w:rPr>
      </w:r>
      <w:r>
        <w:rPr>
          <w:noProof/>
        </w:rPr>
        <w:fldChar w:fldCharType="separate"/>
      </w:r>
      <w:r>
        <w:rPr>
          <w:noProof/>
        </w:rPr>
        <w:t>46</w:t>
      </w:r>
      <w:r>
        <w:rPr>
          <w:noProof/>
        </w:rPr>
        <w:fldChar w:fldCharType="end"/>
      </w:r>
    </w:p>
    <w:p w14:paraId="1FF93FBC" w14:textId="77777777" w:rsidR="00DB15E9" w:rsidRDefault="0078312E">
      <w:pPr>
        <w:pStyle w:val="TOC4"/>
        <w:rPr>
          <w:rFonts w:asciiTheme="minorHAnsi" w:eastAsiaTheme="minorEastAsia" w:hAnsiTheme="minorHAnsi" w:cstheme="minorBidi"/>
          <w:noProof/>
          <w:sz w:val="22"/>
          <w:szCs w:val="22"/>
        </w:rPr>
      </w:pPr>
      <w:r>
        <w:rPr>
          <w:noProof/>
        </w:rPr>
        <w:lastRenderedPageBreak/>
        <w:t>3.7.12.4</w:t>
      </w:r>
      <w:r>
        <w:rPr>
          <w:rFonts w:asciiTheme="minorHAnsi" w:eastAsiaTheme="minorEastAsia" w:hAnsiTheme="minorHAnsi" w:cstheme="minorBidi"/>
          <w:noProof/>
          <w:sz w:val="22"/>
          <w:szCs w:val="22"/>
        </w:rPr>
        <w:tab/>
      </w:r>
      <w:r>
        <w:rPr>
          <w:noProof/>
        </w:rPr>
        <w:t>Unannounced Removal of Power</w:t>
      </w:r>
      <w:r>
        <w:rPr>
          <w:noProof/>
        </w:rPr>
        <w:tab/>
      </w:r>
      <w:r>
        <w:rPr>
          <w:noProof/>
        </w:rPr>
        <w:fldChar w:fldCharType="begin"/>
      </w:r>
      <w:r>
        <w:rPr>
          <w:noProof/>
        </w:rPr>
        <w:instrText xml:space="preserve"> PAGEREF _Toc471910858 \h </w:instrText>
      </w:r>
      <w:r>
        <w:rPr>
          <w:noProof/>
        </w:rPr>
      </w:r>
      <w:r>
        <w:rPr>
          <w:noProof/>
        </w:rPr>
        <w:fldChar w:fldCharType="separate"/>
      </w:r>
      <w:r>
        <w:rPr>
          <w:noProof/>
        </w:rPr>
        <w:t>46</w:t>
      </w:r>
      <w:r>
        <w:rPr>
          <w:noProof/>
        </w:rPr>
        <w:fldChar w:fldCharType="end"/>
      </w:r>
    </w:p>
    <w:p w14:paraId="380ED881" w14:textId="77777777" w:rsidR="00DB15E9" w:rsidRDefault="0078312E">
      <w:pPr>
        <w:pStyle w:val="TOC4"/>
        <w:rPr>
          <w:rFonts w:asciiTheme="minorHAnsi" w:eastAsiaTheme="minorEastAsia" w:hAnsiTheme="minorHAnsi" w:cstheme="minorBidi"/>
          <w:noProof/>
          <w:sz w:val="22"/>
          <w:szCs w:val="22"/>
        </w:rPr>
      </w:pPr>
      <w:r>
        <w:rPr>
          <w:noProof/>
        </w:rPr>
        <w:t>3.7.12.5</w:t>
      </w:r>
      <w:r>
        <w:rPr>
          <w:rFonts w:asciiTheme="minorHAnsi" w:eastAsiaTheme="minorEastAsia" w:hAnsiTheme="minorHAnsi" w:cstheme="minorBidi"/>
          <w:noProof/>
          <w:sz w:val="22"/>
          <w:szCs w:val="22"/>
        </w:rPr>
        <w:tab/>
      </w:r>
      <w:r>
        <w:rPr>
          <w:noProof/>
        </w:rPr>
        <w:t>Reversal of Power</w:t>
      </w:r>
      <w:r>
        <w:rPr>
          <w:noProof/>
        </w:rPr>
        <w:tab/>
      </w:r>
      <w:r>
        <w:rPr>
          <w:noProof/>
        </w:rPr>
        <w:fldChar w:fldCharType="begin"/>
      </w:r>
      <w:r>
        <w:rPr>
          <w:noProof/>
        </w:rPr>
        <w:instrText xml:space="preserve"> PAGEREF _Toc471910859 \h </w:instrText>
      </w:r>
      <w:r>
        <w:rPr>
          <w:noProof/>
        </w:rPr>
      </w:r>
      <w:r>
        <w:rPr>
          <w:noProof/>
        </w:rPr>
        <w:fldChar w:fldCharType="separate"/>
      </w:r>
      <w:r>
        <w:rPr>
          <w:noProof/>
        </w:rPr>
        <w:t>46</w:t>
      </w:r>
      <w:r>
        <w:rPr>
          <w:noProof/>
        </w:rPr>
        <w:fldChar w:fldCharType="end"/>
      </w:r>
    </w:p>
    <w:p w14:paraId="2C949219" w14:textId="77777777" w:rsidR="00DB15E9" w:rsidRDefault="0078312E">
      <w:pPr>
        <w:pStyle w:val="TOC4"/>
        <w:rPr>
          <w:rFonts w:asciiTheme="minorHAnsi" w:eastAsiaTheme="minorEastAsia" w:hAnsiTheme="minorHAnsi" w:cstheme="minorBidi"/>
          <w:noProof/>
          <w:sz w:val="22"/>
          <w:szCs w:val="22"/>
        </w:rPr>
      </w:pPr>
      <w:r>
        <w:rPr>
          <w:noProof/>
        </w:rPr>
        <w:t>3.7.12.6</w:t>
      </w:r>
      <w:r>
        <w:rPr>
          <w:rFonts w:asciiTheme="minorHAnsi" w:eastAsiaTheme="minorEastAsia" w:hAnsiTheme="minorHAnsi" w:cstheme="minorBidi"/>
          <w:noProof/>
          <w:sz w:val="22"/>
          <w:szCs w:val="22"/>
        </w:rPr>
        <w:tab/>
      </w:r>
      <w:r>
        <w:rPr>
          <w:noProof/>
        </w:rPr>
        <w:t>Power-Up and Power-Down</w:t>
      </w:r>
      <w:r>
        <w:rPr>
          <w:noProof/>
        </w:rPr>
        <w:tab/>
      </w:r>
      <w:r>
        <w:rPr>
          <w:noProof/>
        </w:rPr>
        <w:fldChar w:fldCharType="begin"/>
      </w:r>
      <w:r>
        <w:rPr>
          <w:noProof/>
        </w:rPr>
        <w:instrText xml:space="preserve"> PAGEREF _Toc471910860 \h </w:instrText>
      </w:r>
      <w:r>
        <w:rPr>
          <w:noProof/>
        </w:rPr>
      </w:r>
      <w:r>
        <w:rPr>
          <w:noProof/>
        </w:rPr>
        <w:fldChar w:fldCharType="separate"/>
      </w:r>
      <w:r>
        <w:rPr>
          <w:noProof/>
        </w:rPr>
        <w:t>47</w:t>
      </w:r>
      <w:r>
        <w:rPr>
          <w:noProof/>
        </w:rPr>
        <w:fldChar w:fldCharType="end"/>
      </w:r>
    </w:p>
    <w:p w14:paraId="5AB59CA0" w14:textId="77777777" w:rsidR="00DB15E9" w:rsidRDefault="0078312E">
      <w:pPr>
        <w:pStyle w:val="TOC4"/>
        <w:rPr>
          <w:rFonts w:asciiTheme="minorHAnsi" w:eastAsiaTheme="minorEastAsia" w:hAnsiTheme="minorHAnsi" w:cstheme="minorBidi"/>
          <w:noProof/>
          <w:sz w:val="22"/>
          <w:szCs w:val="22"/>
        </w:rPr>
      </w:pPr>
      <w:r>
        <w:rPr>
          <w:noProof/>
        </w:rPr>
        <w:t>3.7.12.7</w:t>
      </w:r>
      <w:r>
        <w:rPr>
          <w:rFonts w:asciiTheme="minorHAnsi" w:eastAsiaTheme="minorEastAsia" w:hAnsiTheme="minorHAnsi" w:cstheme="minorBidi"/>
          <w:noProof/>
          <w:sz w:val="22"/>
          <w:szCs w:val="22"/>
        </w:rPr>
        <w:tab/>
      </w:r>
      <w:r>
        <w:rPr>
          <w:noProof/>
        </w:rPr>
        <w:t>Abnormal Operation Steady-State Voltage Limits</w:t>
      </w:r>
      <w:r>
        <w:rPr>
          <w:noProof/>
        </w:rPr>
        <w:tab/>
      </w:r>
      <w:r>
        <w:rPr>
          <w:noProof/>
        </w:rPr>
        <w:fldChar w:fldCharType="begin"/>
      </w:r>
      <w:r>
        <w:rPr>
          <w:noProof/>
        </w:rPr>
        <w:instrText xml:space="preserve"> PAGEREF _Toc471910861 \h </w:instrText>
      </w:r>
      <w:r>
        <w:rPr>
          <w:noProof/>
        </w:rPr>
      </w:r>
      <w:r>
        <w:rPr>
          <w:noProof/>
        </w:rPr>
        <w:fldChar w:fldCharType="separate"/>
      </w:r>
      <w:r>
        <w:rPr>
          <w:noProof/>
        </w:rPr>
        <w:t>47</w:t>
      </w:r>
      <w:r>
        <w:rPr>
          <w:noProof/>
        </w:rPr>
        <w:fldChar w:fldCharType="end"/>
      </w:r>
    </w:p>
    <w:p w14:paraId="04469446" w14:textId="77777777" w:rsidR="00DB15E9" w:rsidRDefault="0078312E">
      <w:pPr>
        <w:pStyle w:val="TOC2"/>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Mechanical Interface</w:t>
      </w:r>
      <w:r>
        <w:tab/>
      </w:r>
      <w:r>
        <w:fldChar w:fldCharType="begin"/>
      </w:r>
      <w:r>
        <w:instrText xml:space="preserve"> PAGEREF _Toc471910862 \h </w:instrText>
      </w:r>
      <w:r>
        <w:fldChar w:fldCharType="separate"/>
      </w:r>
      <w:r>
        <w:t>47</w:t>
      </w:r>
      <w:r>
        <w:fldChar w:fldCharType="end"/>
      </w:r>
    </w:p>
    <w:p w14:paraId="22B2F55B" w14:textId="77777777" w:rsidR="00DB15E9" w:rsidRDefault="0078312E">
      <w:pPr>
        <w:pStyle w:val="TOC3"/>
        <w:rPr>
          <w:rFonts w:asciiTheme="minorHAnsi" w:eastAsiaTheme="minorEastAsia" w:hAnsiTheme="minorHAnsi" w:cstheme="minorBidi"/>
          <w:noProof/>
          <w:sz w:val="22"/>
        </w:rPr>
      </w:pPr>
      <w:r>
        <w:rPr>
          <w:noProof/>
        </w:rPr>
        <w:t>3.8.1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_Toc471910863 \h </w:instrText>
      </w:r>
      <w:r>
        <w:rPr>
          <w:noProof/>
        </w:rPr>
      </w:r>
      <w:r>
        <w:rPr>
          <w:noProof/>
        </w:rPr>
        <w:fldChar w:fldCharType="separate"/>
      </w:r>
      <w:r>
        <w:rPr>
          <w:noProof/>
        </w:rPr>
        <w:t>47</w:t>
      </w:r>
      <w:r>
        <w:rPr>
          <w:noProof/>
        </w:rPr>
        <w:fldChar w:fldCharType="end"/>
      </w:r>
    </w:p>
    <w:p w14:paraId="467B792D" w14:textId="77777777" w:rsidR="00DB15E9" w:rsidRDefault="0078312E">
      <w:pPr>
        <w:pStyle w:val="TOC3"/>
        <w:rPr>
          <w:rFonts w:asciiTheme="minorHAnsi" w:eastAsiaTheme="minorEastAsia" w:hAnsiTheme="minorHAnsi" w:cstheme="minorBidi"/>
          <w:noProof/>
          <w:sz w:val="22"/>
        </w:rPr>
      </w:pPr>
      <w:r>
        <w:rPr>
          <w:noProof/>
        </w:rPr>
        <w:t>3.8.2</w:t>
      </w:r>
      <w:r>
        <w:rPr>
          <w:rFonts w:asciiTheme="minorHAnsi" w:eastAsiaTheme="minorEastAsia" w:hAnsiTheme="minorHAnsi" w:cstheme="minorBidi"/>
          <w:noProof/>
          <w:sz w:val="22"/>
        </w:rPr>
        <w:tab/>
      </w:r>
      <w:r>
        <w:rPr>
          <w:noProof/>
        </w:rPr>
        <w:t>Mechanical Interface</w:t>
      </w:r>
      <w:r>
        <w:rPr>
          <w:noProof/>
        </w:rPr>
        <w:tab/>
      </w:r>
      <w:r>
        <w:rPr>
          <w:noProof/>
        </w:rPr>
        <w:fldChar w:fldCharType="begin"/>
      </w:r>
      <w:r>
        <w:rPr>
          <w:noProof/>
        </w:rPr>
        <w:instrText xml:space="preserve"> PAGEREF _Toc471910864 \h </w:instrText>
      </w:r>
      <w:r>
        <w:rPr>
          <w:noProof/>
        </w:rPr>
      </w:r>
      <w:r>
        <w:rPr>
          <w:noProof/>
        </w:rPr>
        <w:fldChar w:fldCharType="separate"/>
      </w:r>
      <w:r>
        <w:rPr>
          <w:noProof/>
        </w:rPr>
        <w:t>47</w:t>
      </w:r>
      <w:r>
        <w:rPr>
          <w:noProof/>
        </w:rPr>
        <w:fldChar w:fldCharType="end"/>
      </w:r>
    </w:p>
    <w:p w14:paraId="09E49A61" w14:textId="77777777" w:rsidR="00DB15E9" w:rsidRDefault="0078312E">
      <w:pPr>
        <w:pStyle w:val="TOC3"/>
        <w:rPr>
          <w:rFonts w:asciiTheme="minorHAnsi" w:eastAsiaTheme="minorEastAsia" w:hAnsiTheme="minorHAnsi" w:cstheme="minorBidi"/>
          <w:noProof/>
          <w:sz w:val="22"/>
        </w:rPr>
      </w:pPr>
      <w:r>
        <w:rPr>
          <w:noProof/>
        </w:rPr>
        <w:t>3.8.3</w:t>
      </w:r>
      <w:r>
        <w:rPr>
          <w:rFonts w:asciiTheme="minorHAnsi" w:eastAsiaTheme="minorEastAsia" w:hAnsiTheme="minorHAnsi" w:cstheme="minorBidi"/>
          <w:noProof/>
          <w:sz w:val="22"/>
        </w:rPr>
        <w:tab/>
      </w:r>
      <w:r>
        <w:rPr>
          <w:noProof/>
        </w:rPr>
        <w:t>Accommodation</w:t>
      </w:r>
      <w:r>
        <w:rPr>
          <w:noProof/>
        </w:rPr>
        <w:tab/>
      </w:r>
      <w:r>
        <w:rPr>
          <w:noProof/>
        </w:rPr>
        <w:fldChar w:fldCharType="begin"/>
      </w:r>
      <w:r>
        <w:rPr>
          <w:noProof/>
        </w:rPr>
        <w:instrText xml:space="preserve"> PAGEREF _Toc471910865 \h </w:instrText>
      </w:r>
      <w:r>
        <w:rPr>
          <w:noProof/>
        </w:rPr>
      </w:r>
      <w:r>
        <w:rPr>
          <w:noProof/>
        </w:rPr>
        <w:fldChar w:fldCharType="separate"/>
      </w:r>
      <w:r>
        <w:rPr>
          <w:noProof/>
        </w:rPr>
        <w:t>48</w:t>
      </w:r>
      <w:r>
        <w:rPr>
          <w:noProof/>
        </w:rPr>
        <w:fldChar w:fldCharType="end"/>
      </w:r>
    </w:p>
    <w:p w14:paraId="2203255A" w14:textId="77777777" w:rsidR="00DB15E9" w:rsidRDefault="0078312E">
      <w:pPr>
        <w:pStyle w:val="TOC4"/>
        <w:rPr>
          <w:rFonts w:asciiTheme="minorHAnsi" w:eastAsiaTheme="minorEastAsia" w:hAnsiTheme="minorHAnsi" w:cstheme="minorBidi"/>
          <w:noProof/>
          <w:sz w:val="22"/>
          <w:szCs w:val="22"/>
        </w:rPr>
      </w:pPr>
      <w:r>
        <w:rPr>
          <w:noProof/>
        </w:rPr>
        <w:t>3.8.3.1</w:t>
      </w:r>
      <w:r>
        <w:rPr>
          <w:rFonts w:asciiTheme="minorHAnsi" w:eastAsiaTheme="minorEastAsia" w:hAnsiTheme="minorHAnsi" w:cstheme="minorBidi"/>
          <w:noProof/>
          <w:sz w:val="22"/>
          <w:szCs w:val="22"/>
        </w:rPr>
        <w:tab/>
      </w:r>
      <w:r>
        <w:rPr>
          <w:noProof/>
        </w:rPr>
        <w:t>Mass</w:t>
      </w:r>
      <w:r>
        <w:rPr>
          <w:noProof/>
        </w:rPr>
        <w:tab/>
      </w:r>
      <w:r>
        <w:rPr>
          <w:noProof/>
        </w:rPr>
        <w:fldChar w:fldCharType="begin"/>
      </w:r>
      <w:r>
        <w:rPr>
          <w:noProof/>
        </w:rPr>
        <w:instrText xml:space="preserve"> PAGEREF _Toc471910866 \h </w:instrText>
      </w:r>
      <w:r>
        <w:rPr>
          <w:noProof/>
        </w:rPr>
      </w:r>
      <w:r>
        <w:rPr>
          <w:noProof/>
        </w:rPr>
        <w:fldChar w:fldCharType="separate"/>
      </w:r>
      <w:r>
        <w:rPr>
          <w:noProof/>
        </w:rPr>
        <w:t>48</w:t>
      </w:r>
      <w:r>
        <w:rPr>
          <w:noProof/>
        </w:rPr>
        <w:fldChar w:fldCharType="end"/>
      </w:r>
    </w:p>
    <w:p w14:paraId="6DBCA451" w14:textId="77777777" w:rsidR="00DB15E9" w:rsidRDefault="0078312E">
      <w:pPr>
        <w:pStyle w:val="TOC4"/>
        <w:rPr>
          <w:rFonts w:asciiTheme="minorHAnsi" w:eastAsiaTheme="minorEastAsia" w:hAnsiTheme="minorHAnsi" w:cstheme="minorBidi"/>
          <w:noProof/>
          <w:sz w:val="22"/>
          <w:szCs w:val="22"/>
        </w:rPr>
      </w:pPr>
      <w:r>
        <w:rPr>
          <w:noProof/>
        </w:rPr>
        <w:t>3.8.3.2</w:t>
      </w:r>
      <w:r>
        <w:rPr>
          <w:rFonts w:asciiTheme="minorHAnsi" w:eastAsiaTheme="minorEastAsia" w:hAnsiTheme="minorHAnsi" w:cstheme="minorBidi"/>
          <w:noProof/>
          <w:sz w:val="22"/>
          <w:szCs w:val="22"/>
        </w:rPr>
        <w:tab/>
      </w:r>
      <w:r>
        <w:rPr>
          <w:noProof/>
        </w:rPr>
        <w:t>Volume</w:t>
      </w:r>
      <w:r>
        <w:rPr>
          <w:noProof/>
        </w:rPr>
        <w:tab/>
      </w:r>
      <w:r>
        <w:rPr>
          <w:noProof/>
        </w:rPr>
        <w:fldChar w:fldCharType="begin"/>
      </w:r>
      <w:r>
        <w:rPr>
          <w:noProof/>
        </w:rPr>
        <w:instrText xml:space="preserve"> PAGEREF _Toc471910867 \h </w:instrText>
      </w:r>
      <w:r>
        <w:rPr>
          <w:noProof/>
        </w:rPr>
      </w:r>
      <w:r>
        <w:rPr>
          <w:noProof/>
        </w:rPr>
        <w:fldChar w:fldCharType="separate"/>
      </w:r>
      <w:r>
        <w:rPr>
          <w:noProof/>
        </w:rPr>
        <w:t>48</w:t>
      </w:r>
      <w:r>
        <w:rPr>
          <w:noProof/>
        </w:rPr>
        <w:fldChar w:fldCharType="end"/>
      </w:r>
    </w:p>
    <w:p w14:paraId="78F8A139" w14:textId="77777777" w:rsidR="00DB15E9" w:rsidRDefault="0078312E">
      <w:pPr>
        <w:pStyle w:val="TOC3"/>
        <w:rPr>
          <w:rFonts w:asciiTheme="minorHAnsi" w:eastAsiaTheme="minorEastAsia" w:hAnsiTheme="minorHAnsi" w:cstheme="minorBidi"/>
          <w:noProof/>
          <w:sz w:val="22"/>
        </w:rPr>
      </w:pPr>
      <w:r>
        <w:rPr>
          <w:noProof/>
        </w:rPr>
        <w:t>3.8.4</w:t>
      </w:r>
      <w:r>
        <w:rPr>
          <w:rFonts w:asciiTheme="minorHAnsi" w:eastAsiaTheme="minorEastAsia" w:hAnsiTheme="minorHAnsi" w:cstheme="minorBidi"/>
          <w:noProof/>
          <w:sz w:val="22"/>
        </w:rPr>
        <w:tab/>
      </w:r>
      <w:r>
        <w:rPr>
          <w:noProof/>
        </w:rPr>
        <w:t>Functionality in 1 g Environment</w:t>
      </w:r>
      <w:r>
        <w:rPr>
          <w:noProof/>
        </w:rPr>
        <w:tab/>
      </w:r>
      <w:r>
        <w:rPr>
          <w:noProof/>
        </w:rPr>
        <w:fldChar w:fldCharType="begin"/>
      </w:r>
      <w:r>
        <w:rPr>
          <w:noProof/>
        </w:rPr>
        <w:instrText xml:space="preserve"> PAGEREF _Toc471910868 \h </w:instrText>
      </w:r>
      <w:r>
        <w:rPr>
          <w:noProof/>
        </w:rPr>
      </w:r>
      <w:r>
        <w:rPr>
          <w:noProof/>
        </w:rPr>
        <w:fldChar w:fldCharType="separate"/>
      </w:r>
      <w:r>
        <w:rPr>
          <w:noProof/>
        </w:rPr>
        <w:t>48</w:t>
      </w:r>
      <w:r>
        <w:rPr>
          <w:noProof/>
        </w:rPr>
        <w:fldChar w:fldCharType="end"/>
      </w:r>
    </w:p>
    <w:p w14:paraId="754DF3D3" w14:textId="77777777" w:rsidR="00DB15E9" w:rsidRDefault="0078312E">
      <w:pPr>
        <w:pStyle w:val="TOC3"/>
        <w:rPr>
          <w:rFonts w:asciiTheme="minorHAnsi" w:eastAsiaTheme="minorEastAsia" w:hAnsiTheme="minorHAnsi" w:cstheme="minorBidi"/>
          <w:noProof/>
          <w:sz w:val="22"/>
        </w:rPr>
      </w:pPr>
      <w:r>
        <w:rPr>
          <w:noProof/>
        </w:rPr>
        <w:t>3.8.5</w:t>
      </w:r>
      <w:r>
        <w:rPr>
          <w:rFonts w:asciiTheme="minorHAnsi" w:eastAsiaTheme="minorEastAsia" w:hAnsiTheme="minorHAnsi" w:cstheme="minorBidi"/>
          <w:noProof/>
          <w:sz w:val="22"/>
        </w:rPr>
        <w:tab/>
      </w:r>
      <w:r>
        <w:rPr>
          <w:noProof/>
        </w:rPr>
        <w:t>Stationary Instrument Mechanisms</w:t>
      </w:r>
      <w:r>
        <w:rPr>
          <w:noProof/>
        </w:rPr>
        <w:tab/>
      </w:r>
      <w:r>
        <w:rPr>
          <w:noProof/>
        </w:rPr>
        <w:fldChar w:fldCharType="begin"/>
      </w:r>
      <w:r>
        <w:rPr>
          <w:noProof/>
        </w:rPr>
        <w:instrText xml:space="preserve"> PAGEREF _Toc471910869 \h </w:instrText>
      </w:r>
      <w:r>
        <w:rPr>
          <w:noProof/>
        </w:rPr>
      </w:r>
      <w:r>
        <w:rPr>
          <w:noProof/>
        </w:rPr>
        <w:fldChar w:fldCharType="separate"/>
      </w:r>
      <w:r>
        <w:rPr>
          <w:noProof/>
        </w:rPr>
        <w:t>48</w:t>
      </w:r>
      <w:r>
        <w:rPr>
          <w:noProof/>
        </w:rPr>
        <w:fldChar w:fldCharType="end"/>
      </w:r>
    </w:p>
    <w:p w14:paraId="4A8FEA0D" w14:textId="77777777" w:rsidR="00DB15E9" w:rsidRDefault="0078312E">
      <w:pPr>
        <w:pStyle w:val="TOC3"/>
        <w:rPr>
          <w:rFonts w:asciiTheme="minorHAnsi" w:eastAsiaTheme="minorEastAsia" w:hAnsiTheme="minorHAnsi" w:cstheme="minorBidi"/>
          <w:noProof/>
          <w:sz w:val="22"/>
        </w:rPr>
      </w:pPr>
      <w:r>
        <w:rPr>
          <w:noProof/>
        </w:rPr>
        <w:t>3.8.6</w:t>
      </w:r>
      <w:r>
        <w:rPr>
          <w:rFonts w:asciiTheme="minorHAnsi" w:eastAsiaTheme="minorEastAsia" w:hAnsiTheme="minorHAnsi" w:cstheme="minorBidi"/>
          <w:noProof/>
          <w:sz w:val="22"/>
        </w:rPr>
        <w:tab/>
      </w:r>
      <w:r>
        <w:rPr>
          <w:noProof/>
        </w:rPr>
        <w:t>Moveable Masses</w:t>
      </w:r>
      <w:r>
        <w:rPr>
          <w:noProof/>
        </w:rPr>
        <w:tab/>
      </w:r>
      <w:r>
        <w:rPr>
          <w:noProof/>
        </w:rPr>
        <w:fldChar w:fldCharType="begin"/>
      </w:r>
      <w:r>
        <w:rPr>
          <w:noProof/>
        </w:rPr>
        <w:instrText xml:space="preserve"> PAGEREF _Toc471910870 \h </w:instrText>
      </w:r>
      <w:r>
        <w:rPr>
          <w:noProof/>
        </w:rPr>
      </w:r>
      <w:r>
        <w:rPr>
          <w:noProof/>
        </w:rPr>
        <w:fldChar w:fldCharType="separate"/>
      </w:r>
      <w:r>
        <w:rPr>
          <w:noProof/>
        </w:rPr>
        <w:t>48</w:t>
      </w:r>
      <w:r>
        <w:rPr>
          <w:noProof/>
        </w:rPr>
        <w:fldChar w:fldCharType="end"/>
      </w:r>
    </w:p>
    <w:p w14:paraId="0E12CD11" w14:textId="77777777" w:rsidR="00DB15E9" w:rsidRDefault="0078312E">
      <w:pPr>
        <w:pStyle w:val="TOC3"/>
        <w:rPr>
          <w:rFonts w:asciiTheme="minorHAnsi" w:eastAsiaTheme="minorEastAsia" w:hAnsiTheme="minorHAnsi" w:cstheme="minorBidi"/>
          <w:noProof/>
          <w:sz w:val="22"/>
        </w:rPr>
      </w:pPr>
      <w:r>
        <w:rPr>
          <w:noProof/>
        </w:rPr>
        <w:t>3.8.7</w:t>
      </w:r>
      <w:r>
        <w:rPr>
          <w:rFonts w:asciiTheme="minorHAnsi" w:eastAsiaTheme="minorEastAsia" w:hAnsiTheme="minorHAnsi" w:cstheme="minorBidi"/>
          <w:noProof/>
          <w:sz w:val="22"/>
        </w:rPr>
        <w:tab/>
      </w:r>
      <w:r>
        <w:rPr>
          <w:noProof/>
        </w:rPr>
        <w:t>Minimum Fixed-Base Frequency</w:t>
      </w:r>
      <w:r>
        <w:rPr>
          <w:noProof/>
        </w:rPr>
        <w:tab/>
      </w:r>
      <w:r>
        <w:rPr>
          <w:noProof/>
        </w:rPr>
        <w:fldChar w:fldCharType="begin"/>
      </w:r>
      <w:r>
        <w:rPr>
          <w:noProof/>
        </w:rPr>
        <w:instrText xml:space="preserve"> PAGEREF _Toc471910871 \h </w:instrText>
      </w:r>
      <w:r>
        <w:rPr>
          <w:noProof/>
        </w:rPr>
      </w:r>
      <w:r>
        <w:rPr>
          <w:noProof/>
        </w:rPr>
        <w:fldChar w:fldCharType="separate"/>
      </w:r>
      <w:r>
        <w:rPr>
          <w:noProof/>
        </w:rPr>
        <w:t>48</w:t>
      </w:r>
      <w:r>
        <w:rPr>
          <w:noProof/>
        </w:rPr>
        <w:fldChar w:fldCharType="end"/>
      </w:r>
    </w:p>
    <w:p w14:paraId="0251BE93" w14:textId="77777777" w:rsidR="00DB15E9" w:rsidRDefault="0078312E">
      <w:pPr>
        <w:pStyle w:val="TOC2"/>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Thermal Guidelines</w:t>
      </w:r>
      <w:r>
        <w:tab/>
      </w:r>
      <w:r>
        <w:fldChar w:fldCharType="begin"/>
      </w:r>
      <w:r>
        <w:instrText xml:space="preserve"> PAGEREF _Toc471910872 \h </w:instrText>
      </w:r>
      <w:r>
        <w:fldChar w:fldCharType="separate"/>
      </w:r>
      <w:r>
        <w:t>49</w:t>
      </w:r>
      <w:r>
        <w:fldChar w:fldCharType="end"/>
      </w:r>
    </w:p>
    <w:p w14:paraId="1508C620" w14:textId="77777777" w:rsidR="00DB15E9" w:rsidRDefault="0078312E">
      <w:pPr>
        <w:pStyle w:val="TOC3"/>
        <w:rPr>
          <w:rFonts w:asciiTheme="minorHAnsi" w:eastAsiaTheme="minorEastAsia" w:hAnsiTheme="minorHAnsi" w:cstheme="minorBidi"/>
          <w:noProof/>
          <w:sz w:val="22"/>
        </w:rPr>
      </w:pPr>
      <w:r>
        <w:rPr>
          <w:noProof/>
        </w:rPr>
        <w:t>3.9.1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_Toc471910873 \h </w:instrText>
      </w:r>
      <w:r>
        <w:rPr>
          <w:noProof/>
        </w:rPr>
      </w:r>
      <w:r>
        <w:rPr>
          <w:noProof/>
        </w:rPr>
        <w:fldChar w:fldCharType="separate"/>
      </w:r>
      <w:r>
        <w:rPr>
          <w:noProof/>
        </w:rPr>
        <w:t>49</w:t>
      </w:r>
      <w:r>
        <w:rPr>
          <w:noProof/>
        </w:rPr>
        <w:fldChar w:fldCharType="end"/>
      </w:r>
    </w:p>
    <w:p w14:paraId="0CA5805D" w14:textId="77777777" w:rsidR="00DB15E9" w:rsidRDefault="0078312E">
      <w:pPr>
        <w:pStyle w:val="TOC3"/>
        <w:rPr>
          <w:rFonts w:asciiTheme="minorHAnsi" w:eastAsiaTheme="minorEastAsia" w:hAnsiTheme="minorHAnsi" w:cstheme="minorBidi"/>
          <w:noProof/>
          <w:sz w:val="22"/>
        </w:rPr>
      </w:pPr>
      <w:r>
        <w:rPr>
          <w:noProof/>
        </w:rPr>
        <w:t>3.9.2</w:t>
      </w:r>
      <w:r>
        <w:rPr>
          <w:rFonts w:asciiTheme="minorHAnsi" w:eastAsiaTheme="minorEastAsia" w:hAnsiTheme="minorHAnsi" w:cstheme="minorBidi"/>
          <w:noProof/>
          <w:sz w:val="22"/>
        </w:rPr>
        <w:tab/>
      </w:r>
      <w:r>
        <w:rPr>
          <w:noProof/>
        </w:rPr>
        <w:t>Thermal Interface</w:t>
      </w:r>
      <w:r>
        <w:rPr>
          <w:noProof/>
        </w:rPr>
        <w:tab/>
      </w:r>
      <w:r>
        <w:rPr>
          <w:noProof/>
        </w:rPr>
        <w:fldChar w:fldCharType="begin"/>
      </w:r>
      <w:r>
        <w:rPr>
          <w:noProof/>
        </w:rPr>
        <w:instrText xml:space="preserve"> PAGEREF _Toc471910874 \h </w:instrText>
      </w:r>
      <w:r>
        <w:rPr>
          <w:noProof/>
        </w:rPr>
      </w:r>
      <w:r>
        <w:rPr>
          <w:noProof/>
        </w:rPr>
        <w:fldChar w:fldCharType="separate"/>
      </w:r>
      <w:r>
        <w:rPr>
          <w:noProof/>
        </w:rPr>
        <w:t>49</w:t>
      </w:r>
      <w:r>
        <w:rPr>
          <w:noProof/>
        </w:rPr>
        <w:fldChar w:fldCharType="end"/>
      </w:r>
    </w:p>
    <w:p w14:paraId="443A25E2" w14:textId="77777777" w:rsidR="00DB15E9" w:rsidRDefault="0078312E">
      <w:pPr>
        <w:pStyle w:val="TOC3"/>
        <w:rPr>
          <w:rFonts w:asciiTheme="minorHAnsi" w:eastAsiaTheme="minorEastAsia" w:hAnsiTheme="minorHAnsi" w:cstheme="minorBidi"/>
          <w:noProof/>
          <w:sz w:val="22"/>
        </w:rPr>
      </w:pPr>
      <w:r>
        <w:rPr>
          <w:noProof/>
        </w:rPr>
        <w:t>3.9.3</w:t>
      </w:r>
      <w:r>
        <w:rPr>
          <w:rFonts w:asciiTheme="minorHAnsi" w:eastAsiaTheme="minorEastAsia" w:hAnsiTheme="minorHAnsi" w:cstheme="minorBidi"/>
          <w:noProof/>
          <w:sz w:val="22"/>
        </w:rPr>
        <w:tab/>
      </w:r>
      <w:r>
        <w:rPr>
          <w:noProof/>
        </w:rPr>
        <w:t>Thermal Design at the Mechanical Interface</w:t>
      </w:r>
      <w:r>
        <w:rPr>
          <w:noProof/>
        </w:rPr>
        <w:tab/>
      </w:r>
      <w:r>
        <w:rPr>
          <w:noProof/>
        </w:rPr>
        <w:fldChar w:fldCharType="begin"/>
      </w:r>
      <w:r>
        <w:rPr>
          <w:noProof/>
        </w:rPr>
        <w:instrText xml:space="preserve"> PAGEREF _Toc471910875 \h </w:instrText>
      </w:r>
      <w:r>
        <w:rPr>
          <w:noProof/>
        </w:rPr>
      </w:r>
      <w:r>
        <w:rPr>
          <w:noProof/>
        </w:rPr>
        <w:fldChar w:fldCharType="separate"/>
      </w:r>
      <w:r>
        <w:rPr>
          <w:noProof/>
        </w:rPr>
        <w:t>49</w:t>
      </w:r>
      <w:r>
        <w:rPr>
          <w:noProof/>
        </w:rPr>
        <w:fldChar w:fldCharType="end"/>
      </w:r>
    </w:p>
    <w:p w14:paraId="05CC2E7D" w14:textId="77777777" w:rsidR="00DB15E9" w:rsidRDefault="0078312E">
      <w:pPr>
        <w:pStyle w:val="TOC3"/>
        <w:rPr>
          <w:rFonts w:asciiTheme="minorHAnsi" w:eastAsiaTheme="minorEastAsia" w:hAnsiTheme="minorHAnsi" w:cstheme="minorBidi"/>
          <w:noProof/>
          <w:sz w:val="22"/>
        </w:rPr>
      </w:pPr>
      <w:r>
        <w:rPr>
          <w:noProof/>
        </w:rPr>
        <w:t>3.9.4</w:t>
      </w:r>
      <w:r>
        <w:rPr>
          <w:rFonts w:asciiTheme="minorHAnsi" w:eastAsiaTheme="minorEastAsia" w:hAnsiTheme="minorHAnsi" w:cstheme="minorBidi"/>
          <w:noProof/>
          <w:sz w:val="22"/>
        </w:rPr>
        <w:tab/>
      </w:r>
      <w:r>
        <w:rPr>
          <w:noProof/>
        </w:rPr>
        <w:t>Conductive Heat Transfer</w:t>
      </w:r>
      <w:r>
        <w:rPr>
          <w:noProof/>
        </w:rPr>
        <w:tab/>
      </w:r>
      <w:r>
        <w:rPr>
          <w:noProof/>
        </w:rPr>
        <w:fldChar w:fldCharType="begin"/>
      </w:r>
      <w:r>
        <w:rPr>
          <w:noProof/>
        </w:rPr>
        <w:instrText xml:space="preserve"> PAGEREF _Toc471910876 \h </w:instrText>
      </w:r>
      <w:r>
        <w:rPr>
          <w:noProof/>
        </w:rPr>
      </w:r>
      <w:r>
        <w:rPr>
          <w:noProof/>
        </w:rPr>
        <w:fldChar w:fldCharType="separate"/>
      </w:r>
      <w:r>
        <w:rPr>
          <w:noProof/>
        </w:rPr>
        <w:t>49</w:t>
      </w:r>
      <w:r>
        <w:rPr>
          <w:noProof/>
        </w:rPr>
        <w:fldChar w:fldCharType="end"/>
      </w:r>
    </w:p>
    <w:p w14:paraId="05202DA8" w14:textId="77777777" w:rsidR="00DB15E9" w:rsidRDefault="0078312E">
      <w:pPr>
        <w:pStyle w:val="TOC3"/>
        <w:rPr>
          <w:rFonts w:asciiTheme="minorHAnsi" w:eastAsiaTheme="minorEastAsia" w:hAnsiTheme="minorHAnsi" w:cstheme="minorBidi"/>
          <w:noProof/>
          <w:sz w:val="22"/>
        </w:rPr>
      </w:pPr>
      <w:r>
        <w:rPr>
          <w:noProof/>
        </w:rPr>
        <w:t>3.9.5</w:t>
      </w:r>
      <w:r>
        <w:rPr>
          <w:rFonts w:asciiTheme="minorHAnsi" w:eastAsiaTheme="minorEastAsia" w:hAnsiTheme="minorHAnsi" w:cstheme="minorBidi"/>
          <w:noProof/>
          <w:sz w:val="22"/>
        </w:rPr>
        <w:tab/>
      </w:r>
      <w:r>
        <w:rPr>
          <w:noProof/>
        </w:rPr>
        <w:t>Radiative Heat Transfer</w:t>
      </w:r>
      <w:r>
        <w:rPr>
          <w:noProof/>
        </w:rPr>
        <w:tab/>
      </w:r>
      <w:r>
        <w:rPr>
          <w:noProof/>
        </w:rPr>
        <w:fldChar w:fldCharType="begin"/>
      </w:r>
      <w:r>
        <w:rPr>
          <w:noProof/>
        </w:rPr>
        <w:instrText xml:space="preserve"> PAGEREF _Toc471910877 \h </w:instrText>
      </w:r>
      <w:r>
        <w:rPr>
          <w:noProof/>
        </w:rPr>
      </w:r>
      <w:r>
        <w:rPr>
          <w:noProof/>
        </w:rPr>
        <w:fldChar w:fldCharType="separate"/>
      </w:r>
      <w:r>
        <w:rPr>
          <w:noProof/>
        </w:rPr>
        <w:t>49</w:t>
      </w:r>
      <w:r>
        <w:rPr>
          <w:noProof/>
        </w:rPr>
        <w:fldChar w:fldCharType="end"/>
      </w:r>
    </w:p>
    <w:p w14:paraId="3E843B02" w14:textId="77777777" w:rsidR="00DB15E9" w:rsidRDefault="0078312E">
      <w:pPr>
        <w:pStyle w:val="TOC3"/>
        <w:rPr>
          <w:rFonts w:asciiTheme="minorHAnsi" w:eastAsiaTheme="minorEastAsia" w:hAnsiTheme="minorHAnsi" w:cstheme="minorBidi"/>
          <w:noProof/>
          <w:sz w:val="22"/>
        </w:rPr>
      </w:pPr>
      <w:r>
        <w:rPr>
          <w:noProof/>
        </w:rPr>
        <w:t>3.9.6</w:t>
      </w:r>
      <w:r>
        <w:rPr>
          <w:rFonts w:asciiTheme="minorHAnsi" w:eastAsiaTheme="minorEastAsia" w:hAnsiTheme="minorHAnsi" w:cstheme="minorBidi"/>
          <w:noProof/>
          <w:sz w:val="22"/>
        </w:rPr>
        <w:tab/>
      </w:r>
      <w:r>
        <w:rPr>
          <w:noProof/>
        </w:rPr>
        <w:t>Temperature Maintenance Responsibility</w:t>
      </w:r>
      <w:r>
        <w:rPr>
          <w:noProof/>
        </w:rPr>
        <w:tab/>
      </w:r>
      <w:r>
        <w:rPr>
          <w:noProof/>
        </w:rPr>
        <w:fldChar w:fldCharType="begin"/>
      </w:r>
      <w:r>
        <w:rPr>
          <w:noProof/>
        </w:rPr>
        <w:instrText xml:space="preserve"> PAGEREF _Toc471910878 \h </w:instrText>
      </w:r>
      <w:r>
        <w:rPr>
          <w:noProof/>
        </w:rPr>
      </w:r>
      <w:r>
        <w:rPr>
          <w:noProof/>
        </w:rPr>
        <w:fldChar w:fldCharType="separate"/>
      </w:r>
      <w:r>
        <w:rPr>
          <w:noProof/>
        </w:rPr>
        <w:t>51</w:t>
      </w:r>
      <w:r>
        <w:rPr>
          <w:noProof/>
        </w:rPr>
        <w:fldChar w:fldCharType="end"/>
      </w:r>
    </w:p>
    <w:p w14:paraId="71D87F4F" w14:textId="77777777" w:rsidR="00DB15E9" w:rsidRDefault="0078312E">
      <w:pPr>
        <w:pStyle w:val="TOC3"/>
        <w:rPr>
          <w:rFonts w:asciiTheme="minorHAnsi" w:eastAsiaTheme="minorEastAsia" w:hAnsiTheme="minorHAnsi" w:cstheme="minorBidi"/>
          <w:noProof/>
          <w:sz w:val="22"/>
        </w:rPr>
      </w:pPr>
      <w:r>
        <w:rPr>
          <w:noProof/>
        </w:rPr>
        <w:t>3.9.7</w:t>
      </w:r>
      <w:r>
        <w:rPr>
          <w:rFonts w:asciiTheme="minorHAnsi" w:eastAsiaTheme="minorEastAsia" w:hAnsiTheme="minorHAnsi" w:cstheme="minorBidi"/>
          <w:noProof/>
          <w:sz w:val="22"/>
        </w:rPr>
        <w:tab/>
      </w:r>
      <w:r>
        <w:rPr>
          <w:noProof/>
        </w:rPr>
        <w:t>Instrument Allowable Temperatures</w:t>
      </w:r>
      <w:r>
        <w:rPr>
          <w:noProof/>
        </w:rPr>
        <w:tab/>
      </w:r>
      <w:r>
        <w:rPr>
          <w:noProof/>
        </w:rPr>
        <w:fldChar w:fldCharType="begin"/>
      </w:r>
      <w:r>
        <w:rPr>
          <w:noProof/>
        </w:rPr>
        <w:instrText xml:space="preserve"> PAGEREF _Toc471910879 \h </w:instrText>
      </w:r>
      <w:r>
        <w:rPr>
          <w:noProof/>
        </w:rPr>
      </w:r>
      <w:r>
        <w:rPr>
          <w:noProof/>
        </w:rPr>
        <w:fldChar w:fldCharType="separate"/>
      </w:r>
      <w:r>
        <w:rPr>
          <w:noProof/>
        </w:rPr>
        <w:t>51</w:t>
      </w:r>
      <w:r>
        <w:rPr>
          <w:noProof/>
        </w:rPr>
        <w:fldChar w:fldCharType="end"/>
      </w:r>
    </w:p>
    <w:p w14:paraId="1998F3C3" w14:textId="77777777" w:rsidR="00DB15E9" w:rsidRDefault="0078312E">
      <w:pPr>
        <w:pStyle w:val="TOC3"/>
        <w:rPr>
          <w:rFonts w:asciiTheme="minorHAnsi" w:eastAsiaTheme="minorEastAsia" w:hAnsiTheme="minorHAnsi" w:cstheme="minorBidi"/>
          <w:noProof/>
          <w:sz w:val="22"/>
        </w:rPr>
      </w:pPr>
      <w:r>
        <w:rPr>
          <w:noProof/>
        </w:rPr>
        <w:t>3.9.8</w:t>
      </w:r>
      <w:r>
        <w:rPr>
          <w:rFonts w:asciiTheme="minorHAnsi" w:eastAsiaTheme="minorEastAsia" w:hAnsiTheme="minorHAnsi" w:cstheme="minorBidi"/>
          <w:noProof/>
          <w:sz w:val="22"/>
        </w:rPr>
        <w:tab/>
      </w:r>
      <w:r>
        <w:rPr>
          <w:noProof/>
        </w:rPr>
        <w:t>Thermal Control Hardware Responsibility</w:t>
      </w:r>
      <w:r>
        <w:rPr>
          <w:noProof/>
        </w:rPr>
        <w:tab/>
      </w:r>
      <w:r>
        <w:rPr>
          <w:noProof/>
        </w:rPr>
        <w:fldChar w:fldCharType="begin"/>
      </w:r>
      <w:r>
        <w:rPr>
          <w:noProof/>
        </w:rPr>
        <w:instrText xml:space="preserve"> PAGEREF _Toc471910880 \h </w:instrText>
      </w:r>
      <w:r>
        <w:rPr>
          <w:noProof/>
        </w:rPr>
      </w:r>
      <w:r>
        <w:rPr>
          <w:noProof/>
        </w:rPr>
        <w:fldChar w:fldCharType="separate"/>
      </w:r>
      <w:r>
        <w:rPr>
          <w:noProof/>
        </w:rPr>
        <w:t>51</w:t>
      </w:r>
      <w:r>
        <w:rPr>
          <w:noProof/>
        </w:rPr>
        <w:fldChar w:fldCharType="end"/>
      </w:r>
    </w:p>
    <w:p w14:paraId="1BCC2F46" w14:textId="77777777" w:rsidR="00DB15E9" w:rsidRDefault="0078312E">
      <w:pPr>
        <w:pStyle w:val="TOC2"/>
        <w:rPr>
          <w:rFonts w:asciiTheme="minorHAnsi" w:eastAsiaTheme="minorEastAsia" w:hAnsiTheme="minorHAnsi" w:cstheme="minorBidi"/>
          <w:sz w:val="22"/>
          <w:szCs w:val="22"/>
        </w:rPr>
      </w:pPr>
      <w:r>
        <w:t>3.10</w:t>
      </w:r>
      <w:r>
        <w:rPr>
          <w:rFonts w:asciiTheme="minorHAnsi" w:eastAsiaTheme="minorEastAsia" w:hAnsiTheme="minorHAnsi" w:cstheme="minorBidi"/>
          <w:sz w:val="22"/>
          <w:szCs w:val="22"/>
        </w:rPr>
        <w:tab/>
      </w:r>
      <w:r>
        <w:t>Attitude Control</w:t>
      </w:r>
      <w:r>
        <w:tab/>
      </w:r>
      <w:r>
        <w:fldChar w:fldCharType="begin"/>
      </w:r>
      <w:r>
        <w:instrText xml:space="preserve"> PAGEREF _Toc471910881 \h </w:instrText>
      </w:r>
      <w:r>
        <w:fldChar w:fldCharType="separate"/>
      </w:r>
      <w:r>
        <w:t>51</w:t>
      </w:r>
      <w:r>
        <w:fldChar w:fldCharType="end"/>
      </w:r>
    </w:p>
    <w:p w14:paraId="033E4316" w14:textId="77777777" w:rsidR="00DB15E9" w:rsidRDefault="0078312E">
      <w:pPr>
        <w:pStyle w:val="TOC3"/>
        <w:rPr>
          <w:rFonts w:asciiTheme="minorHAnsi" w:eastAsiaTheme="minorEastAsia" w:hAnsiTheme="minorHAnsi" w:cstheme="minorBidi"/>
          <w:noProof/>
          <w:sz w:val="22"/>
        </w:rPr>
      </w:pPr>
      <w:r>
        <w:rPr>
          <w:noProof/>
        </w:rPr>
        <w:t>3.10.1</w:t>
      </w:r>
      <w:r>
        <w:rPr>
          <w:rFonts w:asciiTheme="minorHAnsi" w:eastAsiaTheme="minorEastAsia" w:hAnsiTheme="minorHAnsi" w:cstheme="minorBidi"/>
          <w:noProof/>
          <w:sz w:val="22"/>
        </w:rPr>
        <w:tab/>
      </w:r>
      <w:r>
        <w:rPr>
          <w:noProof/>
        </w:rPr>
        <w:t>Attitude Control System Pointing Accommodation</w:t>
      </w:r>
      <w:r>
        <w:rPr>
          <w:noProof/>
        </w:rPr>
        <w:tab/>
      </w:r>
      <w:r>
        <w:rPr>
          <w:noProof/>
        </w:rPr>
        <w:fldChar w:fldCharType="begin"/>
      </w:r>
      <w:r>
        <w:rPr>
          <w:noProof/>
        </w:rPr>
        <w:instrText xml:space="preserve"> PAGEREF _Toc471910882 \h </w:instrText>
      </w:r>
      <w:r>
        <w:rPr>
          <w:noProof/>
        </w:rPr>
      </w:r>
      <w:r>
        <w:rPr>
          <w:noProof/>
        </w:rPr>
        <w:fldChar w:fldCharType="separate"/>
      </w:r>
      <w:r>
        <w:rPr>
          <w:noProof/>
        </w:rPr>
        <w:t>51</w:t>
      </w:r>
      <w:r>
        <w:rPr>
          <w:noProof/>
        </w:rPr>
        <w:fldChar w:fldCharType="end"/>
      </w:r>
    </w:p>
    <w:p w14:paraId="06A04E61" w14:textId="77777777" w:rsidR="00DB15E9" w:rsidRDefault="0078312E">
      <w:pPr>
        <w:pStyle w:val="TOC3"/>
        <w:rPr>
          <w:rFonts w:asciiTheme="minorHAnsi" w:eastAsiaTheme="minorEastAsia" w:hAnsiTheme="minorHAnsi" w:cstheme="minorBidi"/>
          <w:noProof/>
          <w:sz w:val="22"/>
        </w:rPr>
      </w:pPr>
      <w:r>
        <w:rPr>
          <w:noProof/>
        </w:rPr>
        <w:t>3.10.2</w:t>
      </w:r>
      <w:r>
        <w:rPr>
          <w:rFonts w:asciiTheme="minorHAnsi" w:eastAsiaTheme="minorEastAsia" w:hAnsiTheme="minorHAnsi" w:cstheme="minorBidi"/>
          <w:noProof/>
          <w:sz w:val="22"/>
        </w:rPr>
        <w:tab/>
      </w:r>
      <w:r>
        <w:rPr>
          <w:noProof/>
        </w:rPr>
        <w:t>Attitude Determination System Pointing Knowledge Accommodation</w:t>
      </w:r>
      <w:r>
        <w:rPr>
          <w:noProof/>
        </w:rPr>
        <w:tab/>
      </w:r>
      <w:r>
        <w:rPr>
          <w:noProof/>
        </w:rPr>
        <w:fldChar w:fldCharType="begin"/>
      </w:r>
      <w:r>
        <w:rPr>
          <w:noProof/>
        </w:rPr>
        <w:instrText xml:space="preserve"> PAGEREF _Toc471910883 \h </w:instrText>
      </w:r>
      <w:r>
        <w:rPr>
          <w:noProof/>
        </w:rPr>
      </w:r>
      <w:r>
        <w:rPr>
          <w:noProof/>
        </w:rPr>
        <w:fldChar w:fldCharType="separate"/>
      </w:r>
      <w:r>
        <w:rPr>
          <w:noProof/>
        </w:rPr>
        <w:t>52</w:t>
      </w:r>
      <w:r>
        <w:rPr>
          <w:noProof/>
        </w:rPr>
        <w:fldChar w:fldCharType="end"/>
      </w:r>
    </w:p>
    <w:p w14:paraId="4EEB993C" w14:textId="77777777" w:rsidR="00DB15E9" w:rsidRDefault="0078312E">
      <w:pPr>
        <w:pStyle w:val="TOC3"/>
        <w:rPr>
          <w:rFonts w:asciiTheme="minorHAnsi" w:eastAsiaTheme="minorEastAsia" w:hAnsiTheme="minorHAnsi" w:cstheme="minorBidi"/>
          <w:noProof/>
          <w:sz w:val="22"/>
        </w:rPr>
      </w:pPr>
      <w:r>
        <w:rPr>
          <w:noProof/>
        </w:rPr>
        <w:t>3.10.3</w:t>
      </w:r>
      <w:r>
        <w:rPr>
          <w:rFonts w:asciiTheme="minorHAnsi" w:eastAsiaTheme="minorEastAsia" w:hAnsiTheme="minorHAnsi" w:cstheme="minorBidi"/>
          <w:noProof/>
          <w:sz w:val="22"/>
        </w:rPr>
        <w:tab/>
      </w:r>
      <w:r>
        <w:rPr>
          <w:noProof/>
        </w:rPr>
        <w:t>Payload Pointing Stability Accommodation</w:t>
      </w:r>
      <w:r>
        <w:rPr>
          <w:noProof/>
        </w:rPr>
        <w:tab/>
      </w:r>
      <w:r>
        <w:rPr>
          <w:noProof/>
        </w:rPr>
        <w:fldChar w:fldCharType="begin"/>
      </w:r>
      <w:r>
        <w:rPr>
          <w:noProof/>
        </w:rPr>
        <w:instrText xml:space="preserve"> PAGEREF _Toc471910884 \h </w:instrText>
      </w:r>
      <w:r>
        <w:rPr>
          <w:noProof/>
        </w:rPr>
      </w:r>
      <w:r>
        <w:rPr>
          <w:noProof/>
        </w:rPr>
        <w:fldChar w:fldCharType="separate"/>
      </w:r>
      <w:r>
        <w:rPr>
          <w:noProof/>
        </w:rPr>
        <w:t>52</w:t>
      </w:r>
      <w:r>
        <w:rPr>
          <w:noProof/>
        </w:rPr>
        <w:fldChar w:fldCharType="end"/>
      </w:r>
    </w:p>
    <w:p w14:paraId="3F6273E5" w14:textId="77777777" w:rsidR="00DB15E9" w:rsidRDefault="0078312E">
      <w:pPr>
        <w:pStyle w:val="TOC2"/>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Instrument Models</w:t>
      </w:r>
      <w:r>
        <w:tab/>
      </w:r>
      <w:r>
        <w:fldChar w:fldCharType="begin"/>
      </w:r>
      <w:r>
        <w:instrText xml:space="preserve"> PAGEREF _Toc471910885 \h </w:instrText>
      </w:r>
      <w:r>
        <w:fldChar w:fldCharType="separate"/>
      </w:r>
      <w:r>
        <w:t>52</w:t>
      </w:r>
      <w:r>
        <w:fldChar w:fldCharType="end"/>
      </w:r>
    </w:p>
    <w:p w14:paraId="3F04F255" w14:textId="77777777" w:rsidR="00DB15E9" w:rsidRDefault="0078312E">
      <w:pPr>
        <w:pStyle w:val="TOC2"/>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Environmental Guidelines</w:t>
      </w:r>
      <w:r>
        <w:tab/>
      </w:r>
      <w:r>
        <w:fldChar w:fldCharType="begin"/>
      </w:r>
      <w:r>
        <w:instrText xml:space="preserve"> PAGEREF _Toc471910886 \h </w:instrText>
      </w:r>
      <w:r>
        <w:fldChar w:fldCharType="separate"/>
      </w:r>
      <w:r>
        <w:t>52</w:t>
      </w:r>
      <w:r>
        <w:fldChar w:fldCharType="end"/>
      </w:r>
    </w:p>
    <w:p w14:paraId="3BD16E10" w14:textId="77777777" w:rsidR="00DB15E9" w:rsidRDefault="0078312E">
      <w:pPr>
        <w:pStyle w:val="TOC3"/>
        <w:rPr>
          <w:rFonts w:asciiTheme="minorHAnsi" w:eastAsiaTheme="minorEastAsia" w:hAnsiTheme="minorHAnsi" w:cstheme="minorBidi"/>
          <w:noProof/>
          <w:sz w:val="22"/>
        </w:rPr>
      </w:pPr>
      <w:r>
        <w:rPr>
          <w:noProof/>
        </w:rPr>
        <w:t>3.12.1</w:t>
      </w:r>
      <w:r>
        <w:rPr>
          <w:rFonts w:asciiTheme="minorHAnsi" w:eastAsiaTheme="minorEastAsia" w:hAnsiTheme="minorHAnsi" w:cstheme="minorBidi"/>
          <w:noProof/>
          <w:sz w:val="22"/>
        </w:rPr>
        <w:tab/>
      </w:r>
      <w:r>
        <w:rPr>
          <w:noProof/>
        </w:rPr>
        <w:t>Assumptions</w:t>
      </w:r>
      <w:r>
        <w:rPr>
          <w:noProof/>
        </w:rPr>
        <w:tab/>
      </w:r>
      <w:r>
        <w:rPr>
          <w:noProof/>
        </w:rPr>
        <w:fldChar w:fldCharType="begin"/>
      </w:r>
      <w:r>
        <w:rPr>
          <w:noProof/>
        </w:rPr>
        <w:instrText xml:space="preserve"> PAGEREF _Toc471910887 \h </w:instrText>
      </w:r>
      <w:r>
        <w:rPr>
          <w:noProof/>
        </w:rPr>
      </w:r>
      <w:r>
        <w:rPr>
          <w:noProof/>
        </w:rPr>
        <w:fldChar w:fldCharType="separate"/>
      </w:r>
      <w:r>
        <w:rPr>
          <w:noProof/>
        </w:rPr>
        <w:t>52</w:t>
      </w:r>
      <w:r>
        <w:rPr>
          <w:noProof/>
        </w:rPr>
        <w:fldChar w:fldCharType="end"/>
      </w:r>
    </w:p>
    <w:p w14:paraId="6C7824B7" w14:textId="77777777" w:rsidR="00DB15E9" w:rsidRDefault="0078312E">
      <w:pPr>
        <w:pStyle w:val="TOC3"/>
        <w:rPr>
          <w:rFonts w:asciiTheme="minorHAnsi" w:eastAsiaTheme="minorEastAsia" w:hAnsiTheme="minorHAnsi" w:cstheme="minorBidi"/>
          <w:noProof/>
          <w:sz w:val="22"/>
        </w:rPr>
      </w:pPr>
      <w:r>
        <w:rPr>
          <w:noProof/>
        </w:rPr>
        <w:t>3.12.2</w:t>
      </w:r>
      <w:r>
        <w:rPr>
          <w:rFonts w:asciiTheme="minorHAnsi" w:eastAsiaTheme="minorEastAsia" w:hAnsiTheme="minorHAnsi" w:cstheme="minorBidi"/>
          <w:noProof/>
          <w:sz w:val="22"/>
        </w:rPr>
        <w:tab/>
      </w:r>
      <w:r>
        <w:rPr>
          <w:noProof/>
        </w:rPr>
        <w:t>Shipping/Storage Environment</w:t>
      </w:r>
      <w:r>
        <w:rPr>
          <w:noProof/>
        </w:rPr>
        <w:tab/>
      </w:r>
      <w:r>
        <w:rPr>
          <w:noProof/>
        </w:rPr>
        <w:fldChar w:fldCharType="begin"/>
      </w:r>
      <w:r>
        <w:rPr>
          <w:noProof/>
        </w:rPr>
        <w:instrText xml:space="preserve"> PAGEREF _Toc471910888 \h </w:instrText>
      </w:r>
      <w:r>
        <w:rPr>
          <w:noProof/>
        </w:rPr>
      </w:r>
      <w:r>
        <w:rPr>
          <w:noProof/>
        </w:rPr>
        <w:fldChar w:fldCharType="separate"/>
      </w:r>
      <w:r>
        <w:rPr>
          <w:noProof/>
        </w:rPr>
        <w:t>53</w:t>
      </w:r>
      <w:r>
        <w:rPr>
          <w:noProof/>
        </w:rPr>
        <w:fldChar w:fldCharType="end"/>
      </w:r>
    </w:p>
    <w:p w14:paraId="58257691" w14:textId="77777777" w:rsidR="00DB15E9" w:rsidRDefault="0078312E">
      <w:pPr>
        <w:pStyle w:val="TOC4"/>
        <w:rPr>
          <w:rFonts w:asciiTheme="minorHAnsi" w:eastAsiaTheme="minorEastAsia" w:hAnsiTheme="minorHAnsi" w:cstheme="minorBidi"/>
          <w:noProof/>
          <w:sz w:val="22"/>
          <w:szCs w:val="22"/>
        </w:rPr>
      </w:pPr>
      <w:r>
        <w:rPr>
          <w:noProof/>
        </w:rPr>
        <w:t>3.12.2.1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_Toc471910889 \h </w:instrText>
      </w:r>
      <w:r>
        <w:rPr>
          <w:noProof/>
        </w:rPr>
      </w:r>
      <w:r>
        <w:rPr>
          <w:noProof/>
        </w:rPr>
        <w:fldChar w:fldCharType="separate"/>
      </w:r>
      <w:r>
        <w:rPr>
          <w:noProof/>
        </w:rPr>
        <w:t>54</w:t>
      </w:r>
      <w:r>
        <w:rPr>
          <w:noProof/>
        </w:rPr>
        <w:fldChar w:fldCharType="end"/>
      </w:r>
    </w:p>
    <w:p w14:paraId="30427CB5" w14:textId="77777777" w:rsidR="00DB15E9" w:rsidRDefault="0078312E">
      <w:pPr>
        <w:pStyle w:val="TOC4"/>
        <w:rPr>
          <w:rFonts w:asciiTheme="minorHAnsi" w:eastAsiaTheme="minorEastAsia" w:hAnsiTheme="minorHAnsi" w:cstheme="minorBidi"/>
          <w:noProof/>
          <w:sz w:val="22"/>
          <w:szCs w:val="22"/>
        </w:rPr>
      </w:pPr>
      <w:r>
        <w:rPr>
          <w:noProof/>
        </w:rPr>
        <w:t>3.12.2.2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_Toc471910890 \h </w:instrText>
      </w:r>
      <w:r>
        <w:rPr>
          <w:noProof/>
        </w:rPr>
      </w:r>
      <w:r>
        <w:rPr>
          <w:noProof/>
        </w:rPr>
        <w:fldChar w:fldCharType="separate"/>
      </w:r>
      <w:r>
        <w:rPr>
          <w:noProof/>
        </w:rPr>
        <w:t>54</w:t>
      </w:r>
      <w:r>
        <w:rPr>
          <w:noProof/>
        </w:rPr>
        <w:fldChar w:fldCharType="end"/>
      </w:r>
    </w:p>
    <w:p w14:paraId="01B6F20A" w14:textId="77777777" w:rsidR="00DB15E9" w:rsidRDefault="0078312E">
      <w:pPr>
        <w:pStyle w:val="TOC3"/>
        <w:rPr>
          <w:rFonts w:asciiTheme="minorHAnsi" w:eastAsiaTheme="minorEastAsia" w:hAnsiTheme="minorHAnsi" w:cstheme="minorBidi"/>
          <w:noProof/>
          <w:sz w:val="22"/>
        </w:rPr>
      </w:pPr>
      <w:r>
        <w:rPr>
          <w:noProof/>
        </w:rPr>
        <w:t>3.12.3</w:t>
      </w:r>
      <w:r>
        <w:rPr>
          <w:rFonts w:asciiTheme="minorHAnsi" w:eastAsiaTheme="minorEastAsia" w:hAnsiTheme="minorHAnsi" w:cstheme="minorBidi"/>
          <w:noProof/>
          <w:sz w:val="22"/>
        </w:rPr>
        <w:tab/>
      </w:r>
      <w:r>
        <w:rPr>
          <w:noProof/>
        </w:rPr>
        <w:t>Integration and Test Environment</w:t>
      </w:r>
      <w:r>
        <w:rPr>
          <w:noProof/>
        </w:rPr>
        <w:tab/>
      </w:r>
      <w:r>
        <w:rPr>
          <w:noProof/>
        </w:rPr>
        <w:fldChar w:fldCharType="begin"/>
      </w:r>
      <w:r>
        <w:rPr>
          <w:noProof/>
        </w:rPr>
        <w:instrText xml:space="preserve"> PAGEREF _Toc471910891 \h </w:instrText>
      </w:r>
      <w:r>
        <w:rPr>
          <w:noProof/>
        </w:rPr>
      </w:r>
      <w:r>
        <w:rPr>
          <w:noProof/>
        </w:rPr>
        <w:fldChar w:fldCharType="separate"/>
      </w:r>
      <w:r>
        <w:rPr>
          <w:noProof/>
        </w:rPr>
        <w:t>54</w:t>
      </w:r>
      <w:r>
        <w:rPr>
          <w:noProof/>
        </w:rPr>
        <w:fldChar w:fldCharType="end"/>
      </w:r>
    </w:p>
    <w:p w14:paraId="62702BA5" w14:textId="77777777" w:rsidR="00DB15E9" w:rsidRDefault="0078312E">
      <w:pPr>
        <w:pStyle w:val="TOC4"/>
        <w:rPr>
          <w:rFonts w:asciiTheme="minorHAnsi" w:eastAsiaTheme="minorEastAsia" w:hAnsiTheme="minorHAnsi" w:cstheme="minorBidi"/>
          <w:noProof/>
          <w:sz w:val="22"/>
          <w:szCs w:val="22"/>
        </w:rPr>
      </w:pPr>
      <w:r>
        <w:rPr>
          <w:noProof/>
        </w:rPr>
        <w:t>3.12.3.1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_Toc471910892 \h </w:instrText>
      </w:r>
      <w:r>
        <w:rPr>
          <w:noProof/>
        </w:rPr>
      </w:r>
      <w:r>
        <w:rPr>
          <w:noProof/>
        </w:rPr>
        <w:fldChar w:fldCharType="separate"/>
      </w:r>
      <w:r>
        <w:rPr>
          <w:noProof/>
        </w:rPr>
        <w:t>55</w:t>
      </w:r>
      <w:r>
        <w:rPr>
          <w:noProof/>
        </w:rPr>
        <w:fldChar w:fldCharType="end"/>
      </w:r>
    </w:p>
    <w:p w14:paraId="044733C3" w14:textId="77777777" w:rsidR="00DB15E9" w:rsidRDefault="0078312E">
      <w:pPr>
        <w:pStyle w:val="TOC4"/>
        <w:rPr>
          <w:rFonts w:asciiTheme="minorHAnsi" w:eastAsiaTheme="minorEastAsia" w:hAnsiTheme="minorHAnsi" w:cstheme="minorBidi"/>
          <w:noProof/>
          <w:sz w:val="22"/>
          <w:szCs w:val="22"/>
        </w:rPr>
      </w:pPr>
      <w:r>
        <w:rPr>
          <w:noProof/>
        </w:rPr>
        <w:t>3.12.3.2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_Toc471910893 \h </w:instrText>
      </w:r>
      <w:r>
        <w:rPr>
          <w:noProof/>
        </w:rPr>
      </w:r>
      <w:r>
        <w:rPr>
          <w:noProof/>
        </w:rPr>
        <w:fldChar w:fldCharType="separate"/>
      </w:r>
      <w:r>
        <w:rPr>
          <w:noProof/>
        </w:rPr>
        <w:t>55</w:t>
      </w:r>
      <w:r>
        <w:rPr>
          <w:noProof/>
        </w:rPr>
        <w:fldChar w:fldCharType="end"/>
      </w:r>
    </w:p>
    <w:p w14:paraId="3A9969A7" w14:textId="77777777" w:rsidR="00DB15E9" w:rsidRDefault="0078312E">
      <w:pPr>
        <w:pStyle w:val="TOC3"/>
        <w:rPr>
          <w:rFonts w:asciiTheme="minorHAnsi" w:eastAsiaTheme="minorEastAsia" w:hAnsiTheme="minorHAnsi" w:cstheme="minorBidi"/>
          <w:noProof/>
          <w:sz w:val="22"/>
        </w:rPr>
      </w:pPr>
      <w:r>
        <w:rPr>
          <w:noProof/>
        </w:rPr>
        <w:t>3.12.4</w:t>
      </w:r>
      <w:r>
        <w:rPr>
          <w:rFonts w:asciiTheme="minorHAnsi" w:eastAsiaTheme="minorEastAsia" w:hAnsiTheme="minorHAnsi" w:cstheme="minorBidi"/>
          <w:noProof/>
          <w:sz w:val="22"/>
        </w:rPr>
        <w:tab/>
      </w:r>
      <w:r>
        <w:rPr>
          <w:noProof/>
        </w:rPr>
        <w:t>Launch Environment</w:t>
      </w:r>
      <w:r>
        <w:rPr>
          <w:noProof/>
        </w:rPr>
        <w:tab/>
      </w:r>
      <w:r>
        <w:rPr>
          <w:noProof/>
        </w:rPr>
        <w:fldChar w:fldCharType="begin"/>
      </w:r>
      <w:r>
        <w:rPr>
          <w:noProof/>
        </w:rPr>
        <w:instrText xml:space="preserve"> PAGEREF _Toc471910894 \h </w:instrText>
      </w:r>
      <w:r>
        <w:rPr>
          <w:noProof/>
        </w:rPr>
      </w:r>
      <w:r>
        <w:rPr>
          <w:noProof/>
        </w:rPr>
        <w:fldChar w:fldCharType="separate"/>
      </w:r>
      <w:r>
        <w:rPr>
          <w:noProof/>
        </w:rPr>
        <w:t>56</w:t>
      </w:r>
      <w:r>
        <w:rPr>
          <w:noProof/>
        </w:rPr>
        <w:fldChar w:fldCharType="end"/>
      </w:r>
    </w:p>
    <w:p w14:paraId="2A76ECC8" w14:textId="77777777" w:rsidR="00DB15E9" w:rsidRDefault="0078312E">
      <w:pPr>
        <w:pStyle w:val="TOC4"/>
        <w:rPr>
          <w:rFonts w:asciiTheme="minorHAnsi" w:eastAsiaTheme="minorEastAsia" w:hAnsiTheme="minorHAnsi" w:cstheme="minorBidi"/>
          <w:noProof/>
          <w:sz w:val="22"/>
          <w:szCs w:val="22"/>
        </w:rPr>
      </w:pPr>
      <w:r>
        <w:rPr>
          <w:noProof/>
        </w:rPr>
        <w:t>3.12.4.1</w:t>
      </w:r>
      <w:r>
        <w:rPr>
          <w:rFonts w:asciiTheme="minorHAnsi" w:eastAsiaTheme="minorEastAsia" w:hAnsiTheme="minorHAnsi" w:cstheme="minorBidi"/>
          <w:noProof/>
          <w:sz w:val="22"/>
          <w:szCs w:val="22"/>
        </w:rPr>
        <w:tab/>
      </w:r>
      <w:r>
        <w:rPr>
          <w:noProof/>
        </w:rPr>
        <w:t>Documentation</w:t>
      </w:r>
      <w:r>
        <w:rPr>
          <w:noProof/>
        </w:rPr>
        <w:tab/>
      </w:r>
      <w:r>
        <w:rPr>
          <w:noProof/>
        </w:rPr>
        <w:fldChar w:fldCharType="begin"/>
      </w:r>
      <w:r>
        <w:rPr>
          <w:noProof/>
        </w:rPr>
        <w:instrText xml:space="preserve"> PAGEREF _Toc471910895 \h </w:instrText>
      </w:r>
      <w:r>
        <w:rPr>
          <w:noProof/>
        </w:rPr>
      </w:r>
      <w:r>
        <w:rPr>
          <w:noProof/>
        </w:rPr>
        <w:fldChar w:fldCharType="separate"/>
      </w:r>
      <w:r>
        <w:rPr>
          <w:noProof/>
        </w:rPr>
        <w:t>56</w:t>
      </w:r>
      <w:r>
        <w:rPr>
          <w:noProof/>
        </w:rPr>
        <w:fldChar w:fldCharType="end"/>
      </w:r>
    </w:p>
    <w:p w14:paraId="2F668894" w14:textId="77777777" w:rsidR="00DB15E9" w:rsidRDefault="0078312E">
      <w:pPr>
        <w:pStyle w:val="TOC4"/>
        <w:rPr>
          <w:rFonts w:asciiTheme="minorHAnsi" w:eastAsiaTheme="minorEastAsia" w:hAnsiTheme="minorHAnsi" w:cstheme="minorBidi"/>
          <w:noProof/>
          <w:sz w:val="22"/>
          <w:szCs w:val="22"/>
        </w:rPr>
      </w:pPr>
      <w:r>
        <w:rPr>
          <w:noProof/>
        </w:rPr>
        <w:t>3.12.4.2</w:t>
      </w:r>
      <w:r>
        <w:rPr>
          <w:rFonts w:asciiTheme="minorHAnsi" w:eastAsiaTheme="minorEastAsia" w:hAnsiTheme="minorHAnsi" w:cstheme="minorBidi"/>
          <w:noProof/>
          <w:sz w:val="22"/>
          <w:szCs w:val="22"/>
        </w:rPr>
        <w:tab/>
      </w:r>
      <w:r>
        <w:rPr>
          <w:noProof/>
        </w:rPr>
        <w:t>Instrument Configuration</w:t>
      </w:r>
      <w:r>
        <w:rPr>
          <w:noProof/>
        </w:rPr>
        <w:tab/>
      </w:r>
      <w:r>
        <w:rPr>
          <w:noProof/>
        </w:rPr>
        <w:fldChar w:fldCharType="begin"/>
      </w:r>
      <w:r>
        <w:rPr>
          <w:noProof/>
        </w:rPr>
        <w:instrText xml:space="preserve"> PAGEREF _Toc471910896 \h </w:instrText>
      </w:r>
      <w:r>
        <w:rPr>
          <w:noProof/>
        </w:rPr>
      </w:r>
      <w:r>
        <w:rPr>
          <w:noProof/>
        </w:rPr>
        <w:fldChar w:fldCharType="separate"/>
      </w:r>
      <w:r>
        <w:rPr>
          <w:noProof/>
        </w:rPr>
        <w:t>57</w:t>
      </w:r>
      <w:r>
        <w:rPr>
          <w:noProof/>
        </w:rPr>
        <w:fldChar w:fldCharType="end"/>
      </w:r>
    </w:p>
    <w:p w14:paraId="0B925A07" w14:textId="77777777" w:rsidR="00DB15E9" w:rsidRDefault="0078312E">
      <w:pPr>
        <w:pStyle w:val="TOC4"/>
        <w:rPr>
          <w:rFonts w:asciiTheme="minorHAnsi" w:eastAsiaTheme="minorEastAsia" w:hAnsiTheme="minorHAnsi" w:cstheme="minorBidi"/>
          <w:noProof/>
          <w:sz w:val="22"/>
          <w:szCs w:val="22"/>
        </w:rPr>
      </w:pPr>
      <w:r>
        <w:rPr>
          <w:noProof/>
        </w:rPr>
        <w:t>3.12.4.3</w:t>
      </w:r>
      <w:r>
        <w:rPr>
          <w:rFonts w:asciiTheme="minorHAnsi" w:eastAsiaTheme="minorEastAsia" w:hAnsiTheme="minorHAnsi" w:cstheme="minorBidi"/>
          <w:noProof/>
          <w:sz w:val="22"/>
          <w:szCs w:val="22"/>
        </w:rPr>
        <w:tab/>
      </w:r>
      <w:r>
        <w:rPr>
          <w:noProof/>
        </w:rPr>
        <w:t>Launch Pressure Profile</w:t>
      </w:r>
      <w:r>
        <w:rPr>
          <w:noProof/>
        </w:rPr>
        <w:tab/>
      </w:r>
      <w:r>
        <w:rPr>
          <w:noProof/>
        </w:rPr>
        <w:fldChar w:fldCharType="begin"/>
      </w:r>
      <w:r>
        <w:rPr>
          <w:noProof/>
        </w:rPr>
        <w:instrText xml:space="preserve"> PAGEREF _Toc471910897 \h </w:instrText>
      </w:r>
      <w:r>
        <w:rPr>
          <w:noProof/>
        </w:rPr>
      </w:r>
      <w:r>
        <w:rPr>
          <w:noProof/>
        </w:rPr>
        <w:fldChar w:fldCharType="separate"/>
      </w:r>
      <w:r>
        <w:rPr>
          <w:noProof/>
        </w:rPr>
        <w:t>57</w:t>
      </w:r>
      <w:r>
        <w:rPr>
          <w:noProof/>
        </w:rPr>
        <w:fldChar w:fldCharType="end"/>
      </w:r>
    </w:p>
    <w:p w14:paraId="0894843B" w14:textId="77777777" w:rsidR="00DB15E9" w:rsidRDefault="0078312E">
      <w:pPr>
        <w:pStyle w:val="TOC4"/>
        <w:rPr>
          <w:rFonts w:asciiTheme="minorHAnsi" w:eastAsiaTheme="minorEastAsia" w:hAnsiTheme="minorHAnsi" w:cstheme="minorBidi"/>
          <w:noProof/>
          <w:sz w:val="22"/>
          <w:szCs w:val="22"/>
        </w:rPr>
      </w:pPr>
      <w:r>
        <w:rPr>
          <w:noProof/>
        </w:rPr>
        <w:t>3.12.4.4</w:t>
      </w:r>
      <w:r>
        <w:rPr>
          <w:rFonts w:asciiTheme="minorHAnsi" w:eastAsiaTheme="minorEastAsia" w:hAnsiTheme="minorHAnsi" w:cstheme="minorBidi"/>
          <w:noProof/>
          <w:sz w:val="22"/>
          <w:szCs w:val="22"/>
        </w:rPr>
        <w:tab/>
      </w:r>
      <w:r>
        <w:rPr>
          <w:noProof/>
        </w:rPr>
        <w:t>Quasi-Static Acceleration</w:t>
      </w:r>
      <w:r>
        <w:rPr>
          <w:noProof/>
        </w:rPr>
        <w:tab/>
      </w:r>
      <w:r>
        <w:rPr>
          <w:noProof/>
        </w:rPr>
        <w:fldChar w:fldCharType="begin"/>
      </w:r>
      <w:r>
        <w:rPr>
          <w:noProof/>
        </w:rPr>
        <w:instrText xml:space="preserve"> PAGEREF _Toc471910898 \h </w:instrText>
      </w:r>
      <w:r>
        <w:rPr>
          <w:noProof/>
        </w:rPr>
      </w:r>
      <w:r>
        <w:rPr>
          <w:noProof/>
        </w:rPr>
        <w:fldChar w:fldCharType="separate"/>
      </w:r>
      <w:r>
        <w:rPr>
          <w:noProof/>
        </w:rPr>
        <w:t>57</w:t>
      </w:r>
      <w:r>
        <w:rPr>
          <w:noProof/>
        </w:rPr>
        <w:fldChar w:fldCharType="end"/>
      </w:r>
    </w:p>
    <w:p w14:paraId="44A17C10" w14:textId="77777777" w:rsidR="00DB15E9" w:rsidRDefault="0078312E">
      <w:pPr>
        <w:pStyle w:val="TOC4"/>
        <w:rPr>
          <w:rFonts w:asciiTheme="minorHAnsi" w:eastAsiaTheme="minorEastAsia" w:hAnsiTheme="minorHAnsi" w:cstheme="minorBidi"/>
          <w:noProof/>
          <w:sz w:val="22"/>
          <w:szCs w:val="22"/>
        </w:rPr>
      </w:pPr>
      <w:r>
        <w:rPr>
          <w:noProof/>
        </w:rPr>
        <w:t>3.12.4.5</w:t>
      </w:r>
      <w:r>
        <w:rPr>
          <w:rFonts w:asciiTheme="minorHAnsi" w:eastAsiaTheme="minorEastAsia" w:hAnsiTheme="minorHAnsi" w:cstheme="minorBidi"/>
          <w:noProof/>
          <w:sz w:val="22"/>
          <w:szCs w:val="22"/>
        </w:rPr>
        <w:tab/>
      </w:r>
      <w:r>
        <w:rPr>
          <w:noProof/>
        </w:rPr>
        <w:t>Sinusoidal Vibration</w:t>
      </w:r>
      <w:r>
        <w:rPr>
          <w:noProof/>
        </w:rPr>
        <w:tab/>
      </w:r>
      <w:r>
        <w:rPr>
          <w:noProof/>
        </w:rPr>
        <w:fldChar w:fldCharType="begin"/>
      </w:r>
      <w:r>
        <w:rPr>
          <w:noProof/>
        </w:rPr>
        <w:instrText xml:space="preserve"> PAGEREF _Toc471910899 \h </w:instrText>
      </w:r>
      <w:r>
        <w:rPr>
          <w:noProof/>
        </w:rPr>
      </w:r>
      <w:r>
        <w:rPr>
          <w:noProof/>
        </w:rPr>
        <w:fldChar w:fldCharType="separate"/>
      </w:r>
      <w:r>
        <w:rPr>
          <w:noProof/>
        </w:rPr>
        <w:t>58</w:t>
      </w:r>
      <w:r>
        <w:rPr>
          <w:noProof/>
        </w:rPr>
        <w:fldChar w:fldCharType="end"/>
      </w:r>
    </w:p>
    <w:p w14:paraId="0221473C" w14:textId="77777777" w:rsidR="00DB15E9" w:rsidRDefault="0078312E">
      <w:pPr>
        <w:pStyle w:val="TOC4"/>
        <w:rPr>
          <w:rFonts w:asciiTheme="minorHAnsi" w:eastAsiaTheme="minorEastAsia" w:hAnsiTheme="minorHAnsi" w:cstheme="minorBidi"/>
          <w:noProof/>
          <w:sz w:val="22"/>
          <w:szCs w:val="22"/>
        </w:rPr>
      </w:pPr>
      <w:r>
        <w:rPr>
          <w:noProof/>
        </w:rPr>
        <w:t>3.12.4.6</w:t>
      </w:r>
      <w:r>
        <w:rPr>
          <w:rFonts w:asciiTheme="minorHAnsi" w:eastAsiaTheme="minorEastAsia" w:hAnsiTheme="minorHAnsi" w:cstheme="minorBidi"/>
          <w:noProof/>
          <w:sz w:val="22"/>
          <w:szCs w:val="22"/>
        </w:rPr>
        <w:tab/>
      </w:r>
      <w:r>
        <w:rPr>
          <w:noProof/>
        </w:rPr>
        <w:t>Random Vibration</w:t>
      </w:r>
      <w:r>
        <w:rPr>
          <w:noProof/>
        </w:rPr>
        <w:tab/>
      </w:r>
      <w:r>
        <w:rPr>
          <w:noProof/>
        </w:rPr>
        <w:fldChar w:fldCharType="begin"/>
      </w:r>
      <w:r>
        <w:rPr>
          <w:noProof/>
        </w:rPr>
        <w:instrText xml:space="preserve"> PAGEREF _Toc471910900 \h </w:instrText>
      </w:r>
      <w:r>
        <w:rPr>
          <w:noProof/>
        </w:rPr>
      </w:r>
      <w:r>
        <w:rPr>
          <w:noProof/>
        </w:rPr>
        <w:fldChar w:fldCharType="separate"/>
      </w:r>
      <w:r>
        <w:rPr>
          <w:noProof/>
        </w:rPr>
        <w:t>58</w:t>
      </w:r>
      <w:r>
        <w:rPr>
          <w:noProof/>
        </w:rPr>
        <w:fldChar w:fldCharType="end"/>
      </w:r>
    </w:p>
    <w:p w14:paraId="51B67EF8" w14:textId="77777777" w:rsidR="00DB15E9" w:rsidRDefault="0078312E">
      <w:pPr>
        <w:pStyle w:val="TOC4"/>
        <w:rPr>
          <w:rFonts w:asciiTheme="minorHAnsi" w:eastAsiaTheme="minorEastAsia" w:hAnsiTheme="minorHAnsi" w:cstheme="minorBidi"/>
          <w:noProof/>
          <w:sz w:val="22"/>
          <w:szCs w:val="22"/>
        </w:rPr>
      </w:pPr>
      <w:r>
        <w:rPr>
          <w:noProof/>
        </w:rPr>
        <w:lastRenderedPageBreak/>
        <w:t>3.12.4.7</w:t>
      </w:r>
      <w:r>
        <w:rPr>
          <w:rFonts w:asciiTheme="minorHAnsi" w:eastAsiaTheme="minorEastAsia" w:hAnsiTheme="minorHAnsi" w:cstheme="minorBidi"/>
          <w:noProof/>
          <w:sz w:val="22"/>
          <w:szCs w:val="22"/>
        </w:rPr>
        <w:tab/>
      </w:r>
      <w:r>
        <w:rPr>
          <w:noProof/>
        </w:rPr>
        <w:t>Acoustic Noise</w:t>
      </w:r>
      <w:r>
        <w:rPr>
          <w:noProof/>
        </w:rPr>
        <w:tab/>
      </w:r>
      <w:r>
        <w:rPr>
          <w:noProof/>
        </w:rPr>
        <w:fldChar w:fldCharType="begin"/>
      </w:r>
      <w:r>
        <w:rPr>
          <w:noProof/>
        </w:rPr>
        <w:instrText xml:space="preserve"> PAGEREF _Toc471910901 \h </w:instrText>
      </w:r>
      <w:r>
        <w:rPr>
          <w:noProof/>
        </w:rPr>
      </w:r>
      <w:r>
        <w:rPr>
          <w:noProof/>
        </w:rPr>
        <w:fldChar w:fldCharType="separate"/>
      </w:r>
      <w:r>
        <w:rPr>
          <w:noProof/>
        </w:rPr>
        <w:t>60</w:t>
      </w:r>
      <w:r>
        <w:rPr>
          <w:noProof/>
        </w:rPr>
        <w:fldChar w:fldCharType="end"/>
      </w:r>
    </w:p>
    <w:p w14:paraId="6131D672" w14:textId="77777777" w:rsidR="00DB15E9" w:rsidRDefault="0078312E">
      <w:pPr>
        <w:pStyle w:val="TOC4"/>
        <w:rPr>
          <w:rFonts w:asciiTheme="minorHAnsi" w:eastAsiaTheme="minorEastAsia" w:hAnsiTheme="minorHAnsi" w:cstheme="minorBidi"/>
          <w:noProof/>
          <w:sz w:val="22"/>
          <w:szCs w:val="22"/>
        </w:rPr>
      </w:pPr>
      <w:r>
        <w:rPr>
          <w:noProof/>
        </w:rPr>
        <w:t>3.12.4.8</w:t>
      </w:r>
      <w:r>
        <w:rPr>
          <w:rFonts w:asciiTheme="minorHAnsi" w:eastAsiaTheme="minorEastAsia" w:hAnsiTheme="minorHAnsi" w:cstheme="minorBidi"/>
          <w:noProof/>
          <w:sz w:val="22"/>
          <w:szCs w:val="22"/>
        </w:rPr>
        <w:tab/>
      </w:r>
      <w:r>
        <w:rPr>
          <w:noProof/>
        </w:rPr>
        <w:t>Mechanical Shock</w:t>
      </w:r>
      <w:r>
        <w:rPr>
          <w:noProof/>
        </w:rPr>
        <w:tab/>
      </w:r>
      <w:r>
        <w:rPr>
          <w:noProof/>
        </w:rPr>
        <w:fldChar w:fldCharType="begin"/>
      </w:r>
      <w:r>
        <w:rPr>
          <w:noProof/>
        </w:rPr>
        <w:instrText xml:space="preserve"> PAGEREF _Toc471910902 \h </w:instrText>
      </w:r>
      <w:r>
        <w:rPr>
          <w:noProof/>
        </w:rPr>
      </w:r>
      <w:r>
        <w:rPr>
          <w:noProof/>
        </w:rPr>
        <w:fldChar w:fldCharType="separate"/>
      </w:r>
      <w:r>
        <w:rPr>
          <w:noProof/>
        </w:rPr>
        <w:t>61</w:t>
      </w:r>
      <w:r>
        <w:rPr>
          <w:noProof/>
        </w:rPr>
        <w:fldChar w:fldCharType="end"/>
      </w:r>
    </w:p>
    <w:p w14:paraId="4FFCC8E7" w14:textId="77777777" w:rsidR="00DB15E9" w:rsidRDefault="0078312E">
      <w:pPr>
        <w:pStyle w:val="TOC3"/>
        <w:rPr>
          <w:rFonts w:asciiTheme="minorHAnsi" w:eastAsiaTheme="minorEastAsia" w:hAnsiTheme="minorHAnsi" w:cstheme="minorBidi"/>
          <w:noProof/>
          <w:sz w:val="22"/>
        </w:rPr>
      </w:pPr>
      <w:r>
        <w:rPr>
          <w:noProof/>
        </w:rPr>
        <w:t>3.12.5</w:t>
      </w:r>
      <w:r>
        <w:rPr>
          <w:rFonts w:asciiTheme="minorHAnsi" w:eastAsiaTheme="minorEastAsia" w:hAnsiTheme="minorHAnsi" w:cstheme="minorBidi"/>
          <w:noProof/>
          <w:sz w:val="22"/>
        </w:rPr>
        <w:tab/>
      </w:r>
      <w:r>
        <w:rPr>
          <w:noProof/>
        </w:rPr>
        <w:t>Operational Environment</w:t>
      </w:r>
      <w:r>
        <w:rPr>
          <w:noProof/>
        </w:rPr>
        <w:tab/>
      </w:r>
      <w:r>
        <w:rPr>
          <w:noProof/>
        </w:rPr>
        <w:fldChar w:fldCharType="begin"/>
      </w:r>
      <w:r>
        <w:rPr>
          <w:noProof/>
        </w:rPr>
        <w:instrText xml:space="preserve"> PAGEREF _Toc471910903 \h </w:instrText>
      </w:r>
      <w:r>
        <w:rPr>
          <w:noProof/>
        </w:rPr>
      </w:r>
      <w:r>
        <w:rPr>
          <w:noProof/>
        </w:rPr>
        <w:fldChar w:fldCharType="separate"/>
      </w:r>
      <w:r>
        <w:rPr>
          <w:noProof/>
        </w:rPr>
        <w:t>61</w:t>
      </w:r>
      <w:r>
        <w:rPr>
          <w:noProof/>
        </w:rPr>
        <w:fldChar w:fldCharType="end"/>
      </w:r>
    </w:p>
    <w:p w14:paraId="2FB41891" w14:textId="77777777" w:rsidR="00DB15E9" w:rsidRDefault="0078312E">
      <w:pPr>
        <w:pStyle w:val="TOC4"/>
        <w:rPr>
          <w:rFonts w:asciiTheme="minorHAnsi" w:eastAsiaTheme="minorEastAsia" w:hAnsiTheme="minorHAnsi" w:cstheme="minorBidi"/>
          <w:noProof/>
          <w:sz w:val="22"/>
          <w:szCs w:val="22"/>
        </w:rPr>
      </w:pPr>
      <w:r>
        <w:rPr>
          <w:noProof/>
        </w:rPr>
        <w:t>3.12.5.1</w:t>
      </w:r>
      <w:r>
        <w:rPr>
          <w:rFonts w:asciiTheme="minorHAnsi" w:eastAsiaTheme="minorEastAsia" w:hAnsiTheme="minorHAnsi" w:cstheme="minorBidi"/>
          <w:noProof/>
          <w:sz w:val="22"/>
          <w:szCs w:val="22"/>
        </w:rPr>
        <w:tab/>
      </w:r>
      <w:r>
        <w:rPr>
          <w:noProof/>
        </w:rPr>
        <w:t>Orbital Acceleration</w:t>
      </w:r>
      <w:r>
        <w:rPr>
          <w:noProof/>
        </w:rPr>
        <w:tab/>
      </w:r>
      <w:r>
        <w:rPr>
          <w:noProof/>
        </w:rPr>
        <w:fldChar w:fldCharType="begin"/>
      </w:r>
      <w:r>
        <w:rPr>
          <w:noProof/>
        </w:rPr>
        <w:instrText xml:space="preserve"> PAGEREF _Toc471910904 \h </w:instrText>
      </w:r>
      <w:r>
        <w:rPr>
          <w:noProof/>
        </w:rPr>
      </w:r>
      <w:r>
        <w:rPr>
          <w:noProof/>
        </w:rPr>
        <w:fldChar w:fldCharType="separate"/>
      </w:r>
      <w:r>
        <w:rPr>
          <w:noProof/>
        </w:rPr>
        <w:t>62</w:t>
      </w:r>
      <w:r>
        <w:rPr>
          <w:noProof/>
        </w:rPr>
        <w:fldChar w:fldCharType="end"/>
      </w:r>
    </w:p>
    <w:p w14:paraId="2B1F3391" w14:textId="77777777" w:rsidR="00DB15E9" w:rsidRDefault="0078312E">
      <w:pPr>
        <w:pStyle w:val="TOC4"/>
        <w:rPr>
          <w:rFonts w:asciiTheme="minorHAnsi" w:eastAsiaTheme="minorEastAsia" w:hAnsiTheme="minorHAnsi" w:cstheme="minorBidi"/>
          <w:noProof/>
          <w:sz w:val="22"/>
          <w:szCs w:val="22"/>
        </w:rPr>
      </w:pPr>
      <w:r>
        <w:rPr>
          <w:noProof/>
        </w:rPr>
        <w:t>3.12.5.2</w:t>
      </w:r>
      <w:r>
        <w:rPr>
          <w:rFonts w:asciiTheme="minorHAnsi" w:eastAsiaTheme="minorEastAsia" w:hAnsiTheme="minorHAnsi" w:cstheme="minorBidi"/>
          <w:noProof/>
          <w:sz w:val="22"/>
          <w:szCs w:val="22"/>
        </w:rPr>
        <w:tab/>
      </w:r>
      <w:r>
        <w:rPr>
          <w:noProof/>
        </w:rPr>
        <w:t>Corona</w:t>
      </w:r>
      <w:r>
        <w:rPr>
          <w:noProof/>
        </w:rPr>
        <w:tab/>
      </w:r>
      <w:r>
        <w:rPr>
          <w:noProof/>
        </w:rPr>
        <w:fldChar w:fldCharType="begin"/>
      </w:r>
      <w:r>
        <w:rPr>
          <w:noProof/>
        </w:rPr>
        <w:instrText xml:space="preserve"> PAGEREF _Toc471910905 \h </w:instrText>
      </w:r>
      <w:r>
        <w:rPr>
          <w:noProof/>
        </w:rPr>
      </w:r>
      <w:r>
        <w:rPr>
          <w:noProof/>
        </w:rPr>
        <w:fldChar w:fldCharType="separate"/>
      </w:r>
      <w:r>
        <w:rPr>
          <w:noProof/>
        </w:rPr>
        <w:t>63</w:t>
      </w:r>
      <w:r>
        <w:rPr>
          <w:noProof/>
        </w:rPr>
        <w:fldChar w:fldCharType="end"/>
      </w:r>
    </w:p>
    <w:p w14:paraId="670A00B0" w14:textId="77777777" w:rsidR="00DB15E9" w:rsidRDefault="0078312E">
      <w:pPr>
        <w:pStyle w:val="TOC4"/>
        <w:rPr>
          <w:rFonts w:asciiTheme="minorHAnsi" w:eastAsiaTheme="minorEastAsia" w:hAnsiTheme="minorHAnsi" w:cstheme="minorBidi"/>
          <w:noProof/>
          <w:sz w:val="22"/>
          <w:szCs w:val="22"/>
        </w:rPr>
      </w:pPr>
      <w:r>
        <w:rPr>
          <w:noProof/>
        </w:rPr>
        <w:t>3.12.5.3</w:t>
      </w:r>
      <w:r>
        <w:rPr>
          <w:rFonts w:asciiTheme="minorHAnsi" w:eastAsiaTheme="minorEastAsia" w:hAnsiTheme="minorHAnsi" w:cstheme="minorBidi"/>
          <w:noProof/>
          <w:sz w:val="22"/>
          <w:szCs w:val="22"/>
        </w:rPr>
        <w:tab/>
      </w:r>
      <w:r>
        <w:rPr>
          <w:noProof/>
        </w:rPr>
        <w:t>Thermal Environment</w:t>
      </w:r>
      <w:r>
        <w:rPr>
          <w:noProof/>
        </w:rPr>
        <w:tab/>
      </w:r>
      <w:r>
        <w:rPr>
          <w:noProof/>
        </w:rPr>
        <w:fldChar w:fldCharType="begin"/>
      </w:r>
      <w:r>
        <w:rPr>
          <w:noProof/>
        </w:rPr>
        <w:instrText xml:space="preserve"> PAGEREF _Toc471910906 \h </w:instrText>
      </w:r>
      <w:r>
        <w:rPr>
          <w:noProof/>
        </w:rPr>
      </w:r>
      <w:r>
        <w:rPr>
          <w:noProof/>
        </w:rPr>
        <w:fldChar w:fldCharType="separate"/>
      </w:r>
      <w:r>
        <w:rPr>
          <w:noProof/>
        </w:rPr>
        <w:t>63</w:t>
      </w:r>
      <w:r>
        <w:rPr>
          <w:noProof/>
        </w:rPr>
        <w:fldChar w:fldCharType="end"/>
      </w:r>
    </w:p>
    <w:p w14:paraId="05C956ED" w14:textId="77777777" w:rsidR="00DB15E9" w:rsidRDefault="0078312E">
      <w:pPr>
        <w:pStyle w:val="TOC3"/>
        <w:rPr>
          <w:rFonts w:asciiTheme="minorHAnsi" w:eastAsiaTheme="minorEastAsia" w:hAnsiTheme="minorHAnsi" w:cstheme="minorBidi"/>
          <w:noProof/>
          <w:sz w:val="22"/>
        </w:rPr>
      </w:pPr>
      <w:r>
        <w:rPr>
          <w:noProof/>
        </w:rPr>
        <w:t>3.12.6</w:t>
      </w:r>
      <w:r>
        <w:rPr>
          <w:rFonts w:asciiTheme="minorHAnsi" w:eastAsiaTheme="minorEastAsia" w:hAnsiTheme="minorHAnsi" w:cstheme="minorBidi"/>
          <w:noProof/>
          <w:sz w:val="22"/>
        </w:rPr>
        <w:tab/>
      </w:r>
      <w:r>
        <w:rPr>
          <w:noProof/>
        </w:rPr>
        <w:t>Radiation Design Margin</w:t>
      </w:r>
      <w:r>
        <w:rPr>
          <w:noProof/>
        </w:rPr>
        <w:tab/>
      </w:r>
      <w:r>
        <w:rPr>
          <w:noProof/>
        </w:rPr>
        <w:fldChar w:fldCharType="begin"/>
      </w:r>
      <w:r>
        <w:rPr>
          <w:noProof/>
        </w:rPr>
        <w:instrText xml:space="preserve"> PAGEREF _Toc471910907 \h </w:instrText>
      </w:r>
      <w:r>
        <w:rPr>
          <w:noProof/>
        </w:rPr>
      </w:r>
      <w:r>
        <w:rPr>
          <w:noProof/>
        </w:rPr>
        <w:fldChar w:fldCharType="separate"/>
      </w:r>
      <w:r>
        <w:rPr>
          <w:noProof/>
        </w:rPr>
        <w:t>63</w:t>
      </w:r>
      <w:r>
        <w:rPr>
          <w:noProof/>
        </w:rPr>
        <w:fldChar w:fldCharType="end"/>
      </w:r>
    </w:p>
    <w:p w14:paraId="181886A9" w14:textId="77777777" w:rsidR="00DB15E9" w:rsidRDefault="0078312E">
      <w:pPr>
        <w:pStyle w:val="TOC4"/>
        <w:rPr>
          <w:rFonts w:asciiTheme="minorHAnsi" w:eastAsiaTheme="minorEastAsia" w:hAnsiTheme="minorHAnsi" w:cstheme="minorBidi"/>
          <w:noProof/>
          <w:sz w:val="22"/>
          <w:szCs w:val="22"/>
        </w:rPr>
      </w:pPr>
      <w:r>
        <w:rPr>
          <w:noProof/>
        </w:rPr>
        <w:t>3.12.6.1</w:t>
      </w:r>
      <w:r>
        <w:rPr>
          <w:rFonts w:asciiTheme="minorHAnsi" w:eastAsiaTheme="minorEastAsia" w:hAnsiTheme="minorHAnsi" w:cstheme="minorBidi"/>
          <w:noProof/>
          <w:sz w:val="22"/>
          <w:szCs w:val="22"/>
        </w:rPr>
        <w:tab/>
      </w:r>
      <w:r>
        <w:rPr>
          <w:noProof/>
        </w:rPr>
        <w:t>Total Ionizing Dose</w:t>
      </w:r>
      <w:r>
        <w:rPr>
          <w:noProof/>
        </w:rPr>
        <w:tab/>
      </w:r>
      <w:r>
        <w:rPr>
          <w:noProof/>
        </w:rPr>
        <w:fldChar w:fldCharType="begin"/>
      </w:r>
      <w:r>
        <w:rPr>
          <w:noProof/>
        </w:rPr>
        <w:instrText xml:space="preserve"> PAGEREF _Toc471910908 \h </w:instrText>
      </w:r>
      <w:r>
        <w:rPr>
          <w:noProof/>
        </w:rPr>
      </w:r>
      <w:r>
        <w:rPr>
          <w:noProof/>
        </w:rPr>
        <w:fldChar w:fldCharType="separate"/>
      </w:r>
      <w:r>
        <w:rPr>
          <w:noProof/>
        </w:rPr>
        <w:t>64</w:t>
      </w:r>
      <w:r>
        <w:rPr>
          <w:noProof/>
        </w:rPr>
        <w:fldChar w:fldCharType="end"/>
      </w:r>
    </w:p>
    <w:p w14:paraId="7FF2BC96" w14:textId="77777777" w:rsidR="00DB15E9" w:rsidRDefault="0078312E">
      <w:pPr>
        <w:pStyle w:val="TOC4"/>
        <w:rPr>
          <w:rFonts w:asciiTheme="minorHAnsi" w:eastAsiaTheme="minorEastAsia" w:hAnsiTheme="minorHAnsi" w:cstheme="minorBidi"/>
          <w:noProof/>
          <w:sz w:val="22"/>
          <w:szCs w:val="22"/>
        </w:rPr>
      </w:pPr>
      <w:r>
        <w:rPr>
          <w:noProof/>
        </w:rPr>
        <w:t>3.12.6.2</w:t>
      </w:r>
      <w:r>
        <w:rPr>
          <w:rFonts w:asciiTheme="minorHAnsi" w:eastAsiaTheme="minorEastAsia" w:hAnsiTheme="minorHAnsi" w:cstheme="minorBidi"/>
          <w:noProof/>
          <w:sz w:val="22"/>
          <w:szCs w:val="22"/>
        </w:rPr>
        <w:tab/>
      </w:r>
      <w:r>
        <w:rPr>
          <w:noProof/>
        </w:rPr>
        <w:t>Particle Fluxes</w:t>
      </w:r>
      <w:r>
        <w:rPr>
          <w:noProof/>
        </w:rPr>
        <w:tab/>
      </w:r>
      <w:r>
        <w:rPr>
          <w:noProof/>
        </w:rPr>
        <w:fldChar w:fldCharType="begin"/>
      </w:r>
      <w:r>
        <w:rPr>
          <w:noProof/>
        </w:rPr>
        <w:instrText xml:space="preserve"> PAGEREF _Toc471910909 \h </w:instrText>
      </w:r>
      <w:r>
        <w:rPr>
          <w:noProof/>
        </w:rPr>
      </w:r>
      <w:r>
        <w:rPr>
          <w:noProof/>
        </w:rPr>
        <w:fldChar w:fldCharType="separate"/>
      </w:r>
      <w:r>
        <w:rPr>
          <w:noProof/>
        </w:rPr>
        <w:t>66</w:t>
      </w:r>
      <w:r>
        <w:rPr>
          <w:noProof/>
        </w:rPr>
        <w:fldChar w:fldCharType="end"/>
      </w:r>
    </w:p>
    <w:p w14:paraId="1E39B35E" w14:textId="77777777" w:rsidR="00DB15E9" w:rsidRDefault="0078312E">
      <w:pPr>
        <w:pStyle w:val="TOC4"/>
        <w:rPr>
          <w:rFonts w:asciiTheme="minorHAnsi" w:eastAsiaTheme="minorEastAsia" w:hAnsiTheme="minorHAnsi" w:cstheme="minorBidi"/>
          <w:noProof/>
          <w:sz w:val="22"/>
          <w:szCs w:val="22"/>
        </w:rPr>
      </w:pPr>
      <w:r>
        <w:rPr>
          <w:noProof/>
        </w:rPr>
        <w:t>3.12.6.3</w:t>
      </w:r>
      <w:r>
        <w:rPr>
          <w:rFonts w:asciiTheme="minorHAnsi" w:eastAsiaTheme="minorEastAsia" w:hAnsiTheme="minorHAnsi" w:cstheme="minorBidi"/>
          <w:noProof/>
          <w:sz w:val="22"/>
          <w:szCs w:val="22"/>
        </w:rPr>
        <w:tab/>
      </w:r>
      <w:r>
        <w:rPr>
          <w:noProof/>
        </w:rPr>
        <w:t>Micrometeoroids</w:t>
      </w:r>
      <w:r>
        <w:rPr>
          <w:noProof/>
        </w:rPr>
        <w:tab/>
      </w:r>
      <w:r>
        <w:rPr>
          <w:noProof/>
        </w:rPr>
        <w:fldChar w:fldCharType="begin"/>
      </w:r>
      <w:r>
        <w:rPr>
          <w:noProof/>
        </w:rPr>
        <w:instrText xml:space="preserve"> PAGEREF _Toc471910910 \h </w:instrText>
      </w:r>
      <w:r>
        <w:rPr>
          <w:noProof/>
        </w:rPr>
      </w:r>
      <w:r>
        <w:rPr>
          <w:noProof/>
        </w:rPr>
        <w:fldChar w:fldCharType="separate"/>
      </w:r>
      <w:r>
        <w:rPr>
          <w:noProof/>
        </w:rPr>
        <w:t>66</w:t>
      </w:r>
      <w:r>
        <w:rPr>
          <w:noProof/>
        </w:rPr>
        <w:fldChar w:fldCharType="end"/>
      </w:r>
    </w:p>
    <w:p w14:paraId="26A2CDC7" w14:textId="77777777" w:rsidR="00DB15E9" w:rsidRDefault="0078312E">
      <w:pPr>
        <w:pStyle w:val="TOC4"/>
        <w:rPr>
          <w:rFonts w:asciiTheme="minorHAnsi" w:eastAsiaTheme="minorEastAsia" w:hAnsiTheme="minorHAnsi" w:cstheme="minorBidi"/>
          <w:noProof/>
          <w:sz w:val="22"/>
          <w:szCs w:val="22"/>
        </w:rPr>
      </w:pPr>
      <w:r>
        <w:rPr>
          <w:noProof/>
        </w:rPr>
        <w:t>3.12.6.4</w:t>
      </w:r>
      <w:r>
        <w:rPr>
          <w:rFonts w:asciiTheme="minorHAnsi" w:eastAsiaTheme="minorEastAsia" w:hAnsiTheme="minorHAnsi" w:cstheme="minorBidi"/>
          <w:noProof/>
          <w:sz w:val="22"/>
          <w:szCs w:val="22"/>
        </w:rPr>
        <w:tab/>
      </w:r>
      <w:r>
        <w:rPr>
          <w:noProof/>
        </w:rPr>
        <w:t>Artificial Space Debris</w:t>
      </w:r>
      <w:r>
        <w:rPr>
          <w:noProof/>
        </w:rPr>
        <w:tab/>
      </w:r>
      <w:r>
        <w:rPr>
          <w:noProof/>
        </w:rPr>
        <w:fldChar w:fldCharType="begin"/>
      </w:r>
      <w:r>
        <w:rPr>
          <w:noProof/>
        </w:rPr>
        <w:instrText xml:space="preserve"> PAGEREF _Toc471910911 \h </w:instrText>
      </w:r>
      <w:r>
        <w:rPr>
          <w:noProof/>
        </w:rPr>
      </w:r>
      <w:r>
        <w:rPr>
          <w:noProof/>
        </w:rPr>
        <w:fldChar w:fldCharType="separate"/>
      </w:r>
      <w:r>
        <w:rPr>
          <w:noProof/>
        </w:rPr>
        <w:t>68</w:t>
      </w:r>
      <w:r>
        <w:rPr>
          <w:noProof/>
        </w:rPr>
        <w:fldChar w:fldCharType="end"/>
      </w:r>
    </w:p>
    <w:p w14:paraId="4EBD20B6" w14:textId="77777777" w:rsidR="00DB15E9" w:rsidRDefault="0078312E">
      <w:pPr>
        <w:pStyle w:val="TOC4"/>
        <w:rPr>
          <w:rFonts w:asciiTheme="minorHAnsi" w:eastAsiaTheme="minorEastAsia" w:hAnsiTheme="minorHAnsi" w:cstheme="minorBidi"/>
          <w:noProof/>
          <w:sz w:val="22"/>
          <w:szCs w:val="22"/>
        </w:rPr>
      </w:pPr>
      <w:r>
        <w:rPr>
          <w:noProof/>
        </w:rPr>
        <w:t>3.12.6.5</w:t>
      </w:r>
      <w:r>
        <w:rPr>
          <w:rFonts w:asciiTheme="minorHAnsi" w:eastAsiaTheme="minorEastAsia" w:hAnsiTheme="minorHAnsi" w:cstheme="minorBidi"/>
          <w:noProof/>
          <w:sz w:val="22"/>
          <w:szCs w:val="22"/>
        </w:rPr>
        <w:tab/>
      </w:r>
      <w:r>
        <w:rPr>
          <w:noProof/>
        </w:rPr>
        <w:t>Atomic Oxygen Environment</w:t>
      </w:r>
      <w:r>
        <w:rPr>
          <w:noProof/>
        </w:rPr>
        <w:tab/>
      </w:r>
      <w:r>
        <w:rPr>
          <w:noProof/>
        </w:rPr>
        <w:fldChar w:fldCharType="begin"/>
      </w:r>
      <w:r>
        <w:rPr>
          <w:noProof/>
        </w:rPr>
        <w:instrText xml:space="preserve"> PAGEREF _Toc471910912 \h </w:instrText>
      </w:r>
      <w:r>
        <w:rPr>
          <w:noProof/>
        </w:rPr>
      </w:r>
      <w:r>
        <w:rPr>
          <w:noProof/>
        </w:rPr>
        <w:fldChar w:fldCharType="separate"/>
      </w:r>
      <w:r>
        <w:rPr>
          <w:noProof/>
        </w:rPr>
        <w:t>70</w:t>
      </w:r>
      <w:r>
        <w:rPr>
          <w:noProof/>
        </w:rPr>
        <w:fldChar w:fldCharType="end"/>
      </w:r>
    </w:p>
    <w:p w14:paraId="489CC2A7" w14:textId="77777777" w:rsidR="00DB15E9" w:rsidRDefault="0078312E">
      <w:pPr>
        <w:pStyle w:val="TOC3"/>
        <w:rPr>
          <w:rFonts w:asciiTheme="minorHAnsi" w:eastAsiaTheme="minorEastAsia" w:hAnsiTheme="minorHAnsi" w:cstheme="minorBidi"/>
          <w:noProof/>
          <w:sz w:val="22"/>
        </w:rPr>
      </w:pPr>
      <w:r>
        <w:rPr>
          <w:noProof/>
        </w:rPr>
        <w:t>3.12.7</w:t>
      </w:r>
      <w:r>
        <w:rPr>
          <w:rFonts w:asciiTheme="minorHAnsi" w:eastAsiaTheme="minorEastAsia" w:hAnsiTheme="minorHAnsi" w:cstheme="minorBidi"/>
          <w:noProof/>
          <w:sz w:val="22"/>
        </w:rPr>
        <w:tab/>
      </w:r>
      <w:r>
        <w:rPr>
          <w:noProof/>
        </w:rPr>
        <w:t>Electromagnetic Interference &amp; Compatibility Environment</w:t>
      </w:r>
      <w:r>
        <w:rPr>
          <w:noProof/>
        </w:rPr>
        <w:tab/>
      </w:r>
      <w:r>
        <w:rPr>
          <w:noProof/>
        </w:rPr>
        <w:fldChar w:fldCharType="begin"/>
      </w:r>
      <w:r>
        <w:rPr>
          <w:noProof/>
        </w:rPr>
        <w:instrText xml:space="preserve"> PAGEREF _Toc471910913 \h </w:instrText>
      </w:r>
      <w:r>
        <w:rPr>
          <w:noProof/>
        </w:rPr>
      </w:r>
      <w:r>
        <w:rPr>
          <w:noProof/>
        </w:rPr>
        <w:fldChar w:fldCharType="separate"/>
      </w:r>
      <w:r>
        <w:rPr>
          <w:noProof/>
        </w:rPr>
        <w:t>70</w:t>
      </w:r>
      <w:r>
        <w:rPr>
          <w:noProof/>
        </w:rPr>
        <w:fldChar w:fldCharType="end"/>
      </w:r>
    </w:p>
    <w:p w14:paraId="40E46705" w14:textId="77777777" w:rsidR="00DB15E9" w:rsidRDefault="0078312E">
      <w:pPr>
        <w:pStyle w:val="TOC1"/>
        <w:rPr>
          <w:rFonts w:asciiTheme="minorHAnsi" w:hAnsiTheme="minorHAnsi"/>
          <w:caps w:val="0"/>
          <w:sz w:val="22"/>
          <w:szCs w:val="22"/>
        </w:rPr>
      </w:pPr>
      <w:r>
        <w:t>4</w:t>
      </w:r>
      <w:r>
        <w:rPr>
          <w:rFonts w:asciiTheme="minorHAnsi" w:hAnsiTheme="minorHAnsi"/>
          <w:caps w:val="0"/>
          <w:sz w:val="22"/>
          <w:szCs w:val="22"/>
        </w:rPr>
        <w:tab/>
      </w:r>
      <w:r>
        <w:t>Acronyms</w:t>
      </w:r>
      <w:r>
        <w:tab/>
      </w:r>
      <w:r>
        <w:fldChar w:fldCharType="begin"/>
      </w:r>
      <w:r>
        <w:instrText xml:space="preserve"> PAGEREF _Toc471910914 \h </w:instrText>
      </w:r>
      <w:r>
        <w:fldChar w:fldCharType="separate"/>
      </w:r>
      <w:r>
        <w:t>71</w:t>
      </w:r>
      <w:r>
        <w:fldChar w:fldCharType="end"/>
      </w:r>
    </w:p>
    <w:p w14:paraId="1551094E" w14:textId="77777777" w:rsidR="00DB15E9" w:rsidRDefault="0078312E">
      <w:pPr>
        <w:pStyle w:val="TOC1"/>
        <w:rPr>
          <w:rFonts w:asciiTheme="minorHAnsi" w:hAnsiTheme="minorHAnsi"/>
          <w:caps w:val="0"/>
          <w:sz w:val="22"/>
          <w:szCs w:val="22"/>
        </w:rPr>
      </w:pPr>
      <w:r>
        <w:t>5</w:t>
      </w:r>
      <w:r>
        <w:rPr>
          <w:rFonts w:asciiTheme="minorHAnsi" w:hAnsiTheme="minorHAnsi"/>
          <w:caps w:val="0"/>
          <w:sz w:val="22"/>
          <w:szCs w:val="22"/>
        </w:rPr>
        <w:tab/>
      </w:r>
      <w:r>
        <w:t>Reference Documents</w:t>
      </w:r>
      <w:r>
        <w:tab/>
      </w:r>
      <w:r>
        <w:fldChar w:fldCharType="begin"/>
      </w:r>
      <w:r>
        <w:instrText xml:space="preserve"> PAGEREF _Toc471910915 \h </w:instrText>
      </w:r>
      <w:r>
        <w:fldChar w:fldCharType="separate"/>
      </w:r>
      <w:r>
        <w:t>73</w:t>
      </w:r>
      <w:r>
        <w:fldChar w:fldCharType="end"/>
      </w:r>
    </w:p>
    <w:p w14:paraId="60DEAAAF" w14:textId="77777777" w:rsidR="00DB15E9" w:rsidRDefault="0078312E">
      <w:pPr>
        <w:pStyle w:val="TOC1"/>
        <w:rPr>
          <w:rFonts w:asciiTheme="minorHAnsi" w:hAnsiTheme="minorHAnsi"/>
          <w:caps w:val="0"/>
          <w:sz w:val="22"/>
          <w:szCs w:val="22"/>
        </w:rPr>
      </w:pPr>
      <w:r>
        <w:t>6</w:t>
      </w:r>
      <w:r>
        <w:rPr>
          <w:rFonts w:asciiTheme="minorHAnsi" w:hAnsiTheme="minorHAnsi"/>
          <w:caps w:val="0"/>
          <w:sz w:val="22"/>
          <w:szCs w:val="22"/>
        </w:rPr>
        <w:tab/>
      </w:r>
      <w:r>
        <w:t>Units of Measure and Metric Prefixes</w:t>
      </w:r>
      <w:r>
        <w:tab/>
      </w:r>
      <w:r>
        <w:fldChar w:fldCharType="begin"/>
      </w:r>
      <w:r>
        <w:instrText xml:space="preserve"> PAGEREF _Toc471910916 \h </w:instrText>
      </w:r>
      <w:r>
        <w:fldChar w:fldCharType="separate"/>
      </w:r>
      <w:r>
        <w:t>77</w:t>
      </w:r>
      <w:r>
        <w:fldChar w:fldCharType="end"/>
      </w:r>
    </w:p>
    <w:p w14:paraId="5946E200" w14:textId="77777777" w:rsidR="00DB15E9" w:rsidRDefault="0078312E">
      <w:pPr>
        <w:pStyle w:val="Heading8"/>
        <w:numPr>
          <w:ilvl w:val="0"/>
          <w:numId w:val="0"/>
        </w:numPr>
        <w:rPr>
          <w:iCs w:val="0"/>
        </w:rPr>
      </w:pPr>
      <w:r>
        <w:rPr>
          <w:iCs w:val="0"/>
        </w:rPr>
        <w:fldChar w:fldCharType="end"/>
      </w:r>
      <w:r>
        <w:t>Appendices</w:t>
      </w:r>
    </w:p>
    <w:p w14:paraId="0F58FF75" w14:textId="77777777" w:rsidR="00DB15E9" w:rsidRDefault="0078312E">
      <w:pPr>
        <w:pStyle w:val="TOC1"/>
        <w:rPr>
          <w:rFonts w:asciiTheme="minorHAnsi" w:hAnsiTheme="minorHAnsi"/>
          <w:caps w:val="0"/>
          <w:sz w:val="22"/>
          <w:szCs w:val="22"/>
        </w:rPr>
      </w:pPr>
      <w:r>
        <w:rPr>
          <w:rFonts w:asciiTheme="majorHAnsi" w:hAnsiTheme="majorHAnsi" w:cstheme="majorHAnsi"/>
          <w:bCs/>
          <w:iCs/>
        </w:rPr>
        <w:fldChar w:fldCharType="begin"/>
      </w:r>
      <w:r>
        <w:rPr>
          <w:rFonts w:asciiTheme="majorHAnsi" w:hAnsiTheme="majorHAnsi" w:cstheme="majorHAnsi"/>
          <w:bCs/>
          <w:iCs/>
        </w:rPr>
        <w:instrText xml:space="preserve"> TOC \t "Heading 7,1,Appendix Outline Level 2,2,Appendix Outline Level 3,3,Appendix Outline Level 4,3" </w:instrText>
      </w:r>
      <w:r>
        <w:rPr>
          <w:rFonts w:asciiTheme="majorHAnsi" w:hAnsiTheme="majorHAnsi" w:cstheme="majorHAnsi"/>
          <w:bCs/>
          <w:iCs/>
        </w:rPr>
        <w:fldChar w:fldCharType="separate"/>
      </w:r>
      <w:r>
        <w:rPr>
          <w14:scene3d>
            <w14:camera w14:prst="orthographicFront"/>
            <w14:lightRig w14:rig="threePt" w14:dir="t">
              <w14:rot w14:lat="0" w14:lon="0" w14:rev="0"/>
            </w14:lightRig>
          </w14:scene3d>
        </w:rPr>
        <w:t>Appendix A</w:t>
      </w:r>
      <w:r>
        <w:t xml:space="preserve"> Lessons Learned</w:t>
      </w:r>
      <w:r>
        <w:tab/>
      </w:r>
      <w:r>
        <w:fldChar w:fldCharType="begin"/>
      </w:r>
      <w:r>
        <w:instrText xml:space="preserve"> PAGEREF _Toc471971522 \h </w:instrText>
      </w:r>
      <w:r>
        <w:fldChar w:fldCharType="separate"/>
      </w:r>
      <w:r>
        <w:t>78</w:t>
      </w:r>
      <w:r>
        <w:fldChar w:fldCharType="end"/>
      </w:r>
    </w:p>
    <w:p w14:paraId="644CDCBB" w14:textId="77777777" w:rsidR="00DB15E9" w:rsidRDefault="0078312E">
      <w:pPr>
        <w:pStyle w:val="TOC2"/>
        <w:rPr>
          <w:rFonts w:asciiTheme="minorHAnsi" w:eastAsiaTheme="minorEastAsia" w:hAnsiTheme="minorHAnsi" w:cstheme="minorBidi"/>
          <w:sz w:val="22"/>
          <w:szCs w:val="22"/>
        </w:rPr>
      </w:pPr>
      <w:r>
        <w:t>A.1 Overview</w:t>
      </w:r>
      <w:r>
        <w:tab/>
      </w:r>
      <w:r>
        <w:fldChar w:fldCharType="begin"/>
      </w:r>
      <w:r>
        <w:instrText xml:space="preserve"> PAGEREF _Toc471971523 \h </w:instrText>
      </w:r>
      <w:r>
        <w:fldChar w:fldCharType="separate"/>
      </w:r>
      <w:r>
        <w:t>78</w:t>
      </w:r>
      <w:r>
        <w:fldChar w:fldCharType="end"/>
      </w:r>
    </w:p>
    <w:p w14:paraId="73BCD8BB" w14:textId="77777777" w:rsidR="00DB15E9" w:rsidRDefault="0078312E">
      <w:pPr>
        <w:pStyle w:val="TOC3"/>
        <w:rPr>
          <w:rFonts w:asciiTheme="minorHAnsi" w:eastAsiaTheme="minorEastAsia" w:hAnsiTheme="minorHAnsi" w:cstheme="minorBidi"/>
          <w:noProof/>
          <w:sz w:val="22"/>
        </w:rPr>
      </w:pPr>
      <w:r>
        <w:rPr>
          <w:rFonts w:cstheme="majorHAnsi"/>
          <w:noProof/>
        </w:rPr>
        <w:t>A.1.1</w:t>
      </w:r>
      <w:r>
        <w:rPr>
          <w:rFonts w:asciiTheme="minorHAnsi" w:eastAsiaTheme="minorEastAsia" w:hAnsiTheme="minorHAnsi" w:cstheme="minorBidi"/>
          <w:noProof/>
          <w:sz w:val="22"/>
        </w:rPr>
        <w:tab/>
      </w:r>
      <w:r>
        <w:rPr>
          <w:rFonts w:asciiTheme="majorHAnsi" w:hAnsiTheme="majorHAnsi" w:cstheme="majorHAnsi"/>
          <w:noProof/>
        </w:rPr>
        <w:t>Introduction and Scope</w:t>
      </w:r>
      <w:r>
        <w:rPr>
          <w:noProof/>
        </w:rPr>
        <w:tab/>
      </w:r>
      <w:r>
        <w:rPr>
          <w:noProof/>
        </w:rPr>
        <w:fldChar w:fldCharType="begin"/>
      </w:r>
      <w:r>
        <w:rPr>
          <w:noProof/>
        </w:rPr>
        <w:instrText xml:space="preserve"> PAGEREF _Toc471971524 \h </w:instrText>
      </w:r>
      <w:r>
        <w:rPr>
          <w:noProof/>
        </w:rPr>
      </w:r>
      <w:r>
        <w:rPr>
          <w:noProof/>
        </w:rPr>
        <w:fldChar w:fldCharType="separate"/>
      </w:r>
      <w:r>
        <w:rPr>
          <w:noProof/>
        </w:rPr>
        <w:t>78</w:t>
      </w:r>
      <w:r>
        <w:rPr>
          <w:noProof/>
        </w:rPr>
        <w:fldChar w:fldCharType="end"/>
      </w:r>
    </w:p>
    <w:p w14:paraId="2ED3863B" w14:textId="77777777" w:rsidR="00DB15E9" w:rsidRDefault="0078312E">
      <w:pPr>
        <w:pStyle w:val="TOC2"/>
        <w:rPr>
          <w:rFonts w:asciiTheme="minorHAnsi" w:eastAsiaTheme="minorEastAsia" w:hAnsiTheme="minorHAnsi" w:cstheme="minorBidi"/>
          <w:sz w:val="22"/>
          <w:szCs w:val="22"/>
        </w:rPr>
      </w:pPr>
      <w:r>
        <w:t>A.2 Lessons Learned</w:t>
      </w:r>
      <w:r>
        <w:tab/>
      </w:r>
      <w:r>
        <w:fldChar w:fldCharType="begin"/>
      </w:r>
      <w:r>
        <w:instrText xml:space="preserve"> PAGEREF _Toc471971525 \h </w:instrText>
      </w:r>
      <w:r>
        <w:fldChar w:fldCharType="separate"/>
      </w:r>
      <w:r>
        <w:t>78</w:t>
      </w:r>
      <w:r>
        <w:fldChar w:fldCharType="end"/>
      </w:r>
    </w:p>
    <w:p w14:paraId="03D14880" w14:textId="77777777" w:rsidR="00DB15E9" w:rsidRDefault="0078312E">
      <w:pPr>
        <w:pStyle w:val="TOC3"/>
        <w:rPr>
          <w:rFonts w:asciiTheme="minorHAnsi" w:eastAsiaTheme="minorEastAsia" w:hAnsiTheme="minorHAnsi" w:cstheme="minorBidi"/>
          <w:noProof/>
          <w:sz w:val="22"/>
        </w:rPr>
      </w:pPr>
      <w:r>
        <w:rPr>
          <w:noProof/>
        </w:rPr>
        <w:t>A.2.1</w:t>
      </w:r>
      <w:r>
        <w:rPr>
          <w:rFonts w:asciiTheme="minorHAnsi" w:eastAsiaTheme="minorEastAsia" w:hAnsiTheme="minorHAnsi" w:cstheme="minorBidi"/>
          <w:noProof/>
          <w:sz w:val="22"/>
        </w:rPr>
        <w:tab/>
      </w:r>
      <w:r>
        <w:rPr>
          <w:noProof/>
        </w:rPr>
        <w:t>NASA Tropospheric Emissions: Monitoring of Pollution (TEMPO)</w:t>
      </w:r>
      <w:r>
        <w:rPr>
          <w:noProof/>
        </w:rPr>
        <w:tab/>
      </w:r>
      <w:r>
        <w:rPr>
          <w:noProof/>
        </w:rPr>
        <w:fldChar w:fldCharType="begin"/>
      </w:r>
      <w:r>
        <w:rPr>
          <w:noProof/>
        </w:rPr>
        <w:instrText xml:space="preserve"> PAGEREF _Toc471971526 \h </w:instrText>
      </w:r>
      <w:r>
        <w:rPr>
          <w:noProof/>
        </w:rPr>
      </w:r>
      <w:r>
        <w:rPr>
          <w:noProof/>
        </w:rPr>
        <w:fldChar w:fldCharType="separate"/>
      </w:r>
      <w:r>
        <w:rPr>
          <w:noProof/>
        </w:rPr>
        <w:t>78</w:t>
      </w:r>
      <w:r>
        <w:rPr>
          <w:noProof/>
        </w:rPr>
        <w:fldChar w:fldCharType="end"/>
      </w:r>
    </w:p>
    <w:p w14:paraId="0ED6F96B" w14:textId="77777777" w:rsidR="00DB15E9" w:rsidRDefault="0078312E">
      <w:pPr>
        <w:pStyle w:val="TOC3"/>
        <w:rPr>
          <w:rFonts w:asciiTheme="minorHAnsi" w:eastAsiaTheme="minorEastAsia" w:hAnsiTheme="minorHAnsi" w:cstheme="minorBidi"/>
          <w:noProof/>
          <w:sz w:val="22"/>
        </w:rPr>
      </w:pPr>
      <w:r>
        <w:rPr>
          <w:noProof/>
        </w:rPr>
        <w:t>A.2.2</w:t>
      </w:r>
      <w:r>
        <w:rPr>
          <w:rFonts w:asciiTheme="minorHAnsi" w:eastAsiaTheme="minorEastAsia" w:hAnsiTheme="minorHAnsi" w:cstheme="minorBidi"/>
          <w:noProof/>
          <w:sz w:val="22"/>
        </w:rPr>
        <w:tab/>
      </w:r>
      <w:r>
        <w:rPr>
          <w:noProof/>
        </w:rPr>
        <w:t>Summary of Lessons learned – Thermal Control / Thermal Interfaces</w:t>
      </w:r>
      <w:r>
        <w:rPr>
          <w:noProof/>
        </w:rPr>
        <w:tab/>
      </w:r>
      <w:r>
        <w:rPr>
          <w:noProof/>
        </w:rPr>
        <w:fldChar w:fldCharType="begin"/>
      </w:r>
      <w:r>
        <w:rPr>
          <w:noProof/>
        </w:rPr>
        <w:instrText xml:space="preserve"> PAGEREF _Toc471971527 \h </w:instrText>
      </w:r>
      <w:r>
        <w:rPr>
          <w:noProof/>
        </w:rPr>
      </w:r>
      <w:r>
        <w:rPr>
          <w:noProof/>
        </w:rPr>
        <w:fldChar w:fldCharType="separate"/>
      </w:r>
      <w:r>
        <w:rPr>
          <w:noProof/>
        </w:rPr>
        <w:t>79</w:t>
      </w:r>
      <w:r>
        <w:rPr>
          <w:noProof/>
        </w:rPr>
        <w:fldChar w:fldCharType="end"/>
      </w:r>
    </w:p>
    <w:p w14:paraId="682B4A12" w14:textId="77777777" w:rsidR="00DB15E9" w:rsidRDefault="0078312E">
      <w:pPr>
        <w:pStyle w:val="TOC3"/>
        <w:rPr>
          <w:rFonts w:asciiTheme="minorHAnsi" w:eastAsiaTheme="minorEastAsia" w:hAnsiTheme="minorHAnsi" w:cstheme="minorBidi"/>
          <w:noProof/>
          <w:sz w:val="22"/>
        </w:rPr>
      </w:pPr>
      <w:r>
        <w:rPr>
          <w:noProof/>
        </w:rPr>
        <w:t>A.2.3</w:t>
      </w:r>
      <w:r>
        <w:rPr>
          <w:rFonts w:asciiTheme="minorHAnsi" w:eastAsiaTheme="minorEastAsia" w:hAnsiTheme="minorHAnsi" w:cstheme="minorBidi"/>
          <w:noProof/>
          <w:sz w:val="22"/>
        </w:rPr>
        <w:tab/>
      </w:r>
      <w:r>
        <w:rPr>
          <w:noProof/>
        </w:rPr>
        <w:t>TEMPO ERD</w:t>
      </w:r>
      <w:r>
        <w:rPr>
          <w:noProof/>
        </w:rPr>
        <w:tab/>
      </w:r>
      <w:r>
        <w:rPr>
          <w:noProof/>
        </w:rPr>
        <w:fldChar w:fldCharType="begin"/>
      </w:r>
      <w:r>
        <w:rPr>
          <w:noProof/>
        </w:rPr>
        <w:instrText xml:space="preserve"> PAGEREF _Toc471971528 \h </w:instrText>
      </w:r>
      <w:r>
        <w:rPr>
          <w:noProof/>
        </w:rPr>
      </w:r>
      <w:r>
        <w:rPr>
          <w:noProof/>
        </w:rPr>
        <w:fldChar w:fldCharType="separate"/>
      </w:r>
      <w:r>
        <w:rPr>
          <w:noProof/>
        </w:rPr>
        <w:t>80</w:t>
      </w:r>
      <w:r>
        <w:rPr>
          <w:noProof/>
        </w:rPr>
        <w:fldChar w:fldCharType="end"/>
      </w:r>
    </w:p>
    <w:p w14:paraId="5FC58A53" w14:textId="77777777" w:rsidR="00DB15E9" w:rsidRDefault="0078312E">
      <w:pPr>
        <w:pStyle w:val="TOC3"/>
        <w:rPr>
          <w:rFonts w:asciiTheme="minorHAnsi" w:eastAsiaTheme="minorEastAsia" w:hAnsiTheme="minorHAnsi" w:cstheme="minorBidi"/>
          <w:noProof/>
          <w:sz w:val="22"/>
        </w:rPr>
      </w:pPr>
      <w:r>
        <w:rPr>
          <w:noProof/>
        </w:rPr>
        <w:t>A.2.4</w:t>
      </w:r>
      <w:r>
        <w:rPr>
          <w:rFonts w:asciiTheme="minorHAnsi" w:eastAsiaTheme="minorEastAsia" w:hAnsiTheme="minorHAnsi" w:cstheme="minorBidi"/>
          <w:noProof/>
          <w:sz w:val="22"/>
        </w:rPr>
        <w:tab/>
      </w:r>
      <w:r>
        <w:rPr>
          <w:noProof/>
        </w:rPr>
        <w:t>Pointing Requirements</w:t>
      </w:r>
      <w:r>
        <w:rPr>
          <w:noProof/>
        </w:rPr>
        <w:tab/>
      </w:r>
      <w:r>
        <w:rPr>
          <w:noProof/>
        </w:rPr>
        <w:fldChar w:fldCharType="begin"/>
      </w:r>
      <w:r>
        <w:rPr>
          <w:noProof/>
        </w:rPr>
        <w:instrText xml:space="preserve"> PAGEREF _Toc471971529 \h </w:instrText>
      </w:r>
      <w:r>
        <w:rPr>
          <w:noProof/>
        </w:rPr>
      </w:r>
      <w:r>
        <w:rPr>
          <w:noProof/>
        </w:rPr>
        <w:fldChar w:fldCharType="separate"/>
      </w:r>
      <w:r>
        <w:rPr>
          <w:noProof/>
        </w:rPr>
        <w:t>81</w:t>
      </w:r>
      <w:r>
        <w:rPr>
          <w:noProof/>
        </w:rPr>
        <w:fldChar w:fldCharType="end"/>
      </w:r>
    </w:p>
    <w:p w14:paraId="385880AC"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t>Appendix B</w:t>
      </w:r>
      <w:r>
        <w:t xml:space="preserve"> Hosted Payload Concept of Operations</w:t>
      </w:r>
      <w:r>
        <w:tab/>
      </w:r>
      <w:r>
        <w:fldChar w:fldCharType="begin"/>
      </w:r>
      <w:r>
        <w:instrText xml:space="preserve"> PAGEREF _Toc471971530 \h </w:instrText>
      </w:r>
      <w:r>
        <w:fldChar w:fldCharType="separate"/>
      </w:r>
      <w:r>
        <w:t>82</w:t>
      </w:r>
      <w:r>
        <w:fldChar w:fldCharType="end"/>
      </w:r>
    </w:p>
    <w:p w14:paraId="364D1D41" w14:textId="77777777" w:rsidR="00DB15E9" w:rsidRDefault="0078312E">
      <w:pPr>
        <w:pStyle w:val="TOC2"/>
        <w:rPr>
          <w:rFonts w:asciiTheme="minorHAnsi" w:eastAsiaTheme="minorEastAsia" w:hAnsiTheme="minorHAnsi" w:cstheme="minorBidi"/>
          <w:sz w:val="22"/>
          <w:szCs w:val="22"/>
        </w:rPr>
      </w:pPr>
      <w:r>
        <w:t>B.1 Introduction</w:t>
      </w:r>
      <w:r>
        <w:tab/>
      </w:r>
      <w:r>
        <w:fldChar w:fldCharType="begin"/>
      </w:r>
      <w:r>
        <w:instrText xml:space="preserve"> PAGEREF _Toc471971531 \h </w:instrText>
      </w:r>
      <w:r>
        <w:fldChar w:fldCharType="separate"/>
      </w:r>
      <w:r>
        <w:t>82</w:t>
      </w:r>
      <w:r>
        <w:fldChar w:fldCharType="end"/>
      </w:r>
    </w:p>
    <w:p w14:paraId="47680720" w14:textId="77777777" w:rsidR="00DB15E9" w:rsidRDefault="0078312E">
      <w:pPr>
        <w:pStyle w:val="TOC3"/>
        <w:rPr>
          <w:rFonts w:asciiTheme="minorHAnsi" w:eastAsiaTheme="minorEastAsia" w:hAnsiTheme="minorHAnsi" w:cstheme="minorBidi"/>
          <w:noProof/>
          <w:sz w:val="22"/>
        </w:rPr>
      </w:pPr>
      <w:r>
        <w:rPr>
          <w:noProof/>
        </w:rPr>
        <w:t>B.1.1</w:t>
      </w:r>
      <w:r>
        <w:rPr>
          <w:rFonts w:asciiTheme="minorHAnsi" w:eastAsiaTheme="minorEastAsia" w:hAnsiTheme="minorHAnsi" w:cstheme="minorBidi"/>
          <w:noProof/>
          <w:sz w:val="22"/>
        </w:rPr>
        <w:tab/>
      </w:r>
      <w:r>
        <w:rPr>
          <w:noProof/>
        </w:rPr>
        <w:t>Goals and Objectives</w:t>
      </w:r>
      <w:r>
        <w:rPr>
          <w:noProof/>
        </w:rPr>
        <w:tab/>
      </w:r>
      <w:r>
        <w:rPr>
          <w:noProof/>
        </w:rPr>
        <w:fldChar w:fldCharType="begin"/>
      </w:r>
      <w:r>
        <w:rPr>
          <w:noProof/>
        </w:rPr>
        <w:instrText xml:space="preserve"> PAGEREF _Toc471971532 \h </w:instrText>
      </w:r>
      <w:r>
        <w:rPr>
          <w:noProof/>
        </w:rPr>
      </w:r>
      <w:r>
        <w:rPr>
          <w:noProof/>
        </w:rPr>
        <w:fldChar w:fldCharType="separate"/>
      </w:r>
      <w:r>
        <w:rPr>
          <w:noProof/>
        </w:rPr>
        <w:t>82</w:t>
      </w:r>
      <w:r>
        <w:rPr>
          <w:noProof/>
        </w:rPr>
        <w:fldChar w:fldCharType="end"/>
      </w:r>
    </w:p>
    <w:p w14:paraId="7CE63F85" w14:textId="77777777" w:rsidR="00DB15E9" w:rsidRDefault="0078312E">
      <w:pPr>
        <w:pStyle w:val="TOC3"/>
        <w:rPr>
          <w:rFonts w:asciiTheme="minorHAnsi" w:eastAsiaTheme="minorEastAsia" w:hAnsiTheme="minorHAnsi" w:cstheme="minorBidi"/>
          <w:noProof/>
          <w:sz w:val="22"/>
        </w:rPr>
      </w:pPr>
      <w:r>
        <w:rPr>
          <w:noProof/>
        </w:rPr>
        <w:t>B.1.2</w:t>
      </w:r>
      <w:r>
        <w:rPr>
          <w:rFonts w:asciiTheme="minorHAnsi" w:eastAsiaTheme="minorEastAsia" w:hAnsiTheme="minorHAnsi" w:cstheme="minorBidi"/>
          <w:noProof/>
          <w:sz w:val="22"/>
        </w:rPr>
        <w:tab/>
      </w:r>
      <w:r>
        <w:rPr>
          <w:noProof/>
        </w:rPr>
        <w:t>Document Scope</w:t>
      </w:r>
      <w:r>
        <w:rPr>
          <w:noProof/>
        </w:rPr>
        <w:tab/>
      </w:r>
      <w:r>
        <w:rPr>
          <w:noProof/>
        </w:rPr>
        <w:fldChar w:fldCharType="begin"/>
      </w:r>
      <w:r>
        <w:rPr>
          <w:noProof/>
        </w:rPr>
        <w:instrText xml:space="preserve"> PAGEREF _Toc471971533 \h </w:instrText>
      </w:r>
      <w:r>
        <w:rPr>
          <w:noProof/>
        </w:rPr>
      </w:r>
      <w:r>
        <w:rPr>
          <w:noProof/>
        </w:rPr>
        <w:fldChar w:fldCharType="separate"/>
      </w:r>
      <w:r>
        <w:rPr>
          <w:noProof/>
        </w:rPr>
        <w:t>82</w:t>
      </w:r>
      <w:r>
        <w:rPr>
          <w:noProof/>
        </w:rPr>
        <w:fldChar w:fldCharType="end"/>
      </w:r>
    </w:p>
    <w:p w14:paraId="281FDCE9" w14:textId="77777777" w:rsidR="00DB15E9" w:rsidRDefault="0078312E">
      <w:pPr>
        <w:pStyle w:val="TOC2"/>
        <w:rPr>
          <w:rFonts w:asciiTheme="minorHAnsi" w:eastAsiaTheme="minorEastAsia" w:hAnsiTheme="minorHAnsi" w:cstheme="minorBidi"/>
          <w:sz w:val="22"/>
          <w:szCs w:val="22"/>
        </w:rPr>
      </w:pPr>
      <w:r>
        <w:t>B.2 Common Instrument Interface Philosophy</w:t>
      </w:r>
      <w:r>
        <w:tab/>
      </w:r>
      <w:r>
        <w:fldChar w:fldCharType="begin"/>
      </w:r>
      <w:r>
        <w:instrText xml:space="preserve"> PAGEREF _Toc471971534 \h </w:instrText>
      </w:r>
      <w:r>
        <w:fldChar w:fldCharType="separate"/>
      </w:r>
      <w:r>
        <w:t>82</w:t>
      </w:r>
      <w:r>
        <w:fldChar w:fldCharType="end"/>
      </w:r>
    </w:p>
    <w:p w14:paraId="696A9967" w14:textId="77777777" w:rsidR="00DB15E9" w:rsidRDefault="0078312E">
      <w:pPr>
        <w:pStyle w:val="TOC2"/>
        <w:rPr>
          <w:rFonts w:asciiTheme="minorHAnsi" w:eastAsiaTheme="minorEastAsia" w:hAnsiTheme="minorHAnsi" w:cstheme="minorBidi"/>
          <w:sz w:val="22"/>
          <w:szCs w:val="22"/>
        </w:rPr>
      </w:pPr>
      <w:r>
        <w:t>B.3 LEO/GEO Satellite concept of operations Summary</w:t>
      </w:r>
      <w:r>
        <w:tab/>
      </w:r>
      <w:r>
        <w:fldChar w:fldCharType="begin"/>
      </w:r>
      <w:r>
        <w:instrText xml:space="preserve"> PAGEREF _Toc471971535 \h </w:instrText>
      </w:r>
      <w:r>
        <w:fldChar w:fldCharType="separate"/>
      </w:r>
      <w:r>
        <w:t>82</w:t>
      </w:r>
      <w:r>
        <w:fldChar w:fldCharType="end"/>
      </w:r>
    </w:p>
    <w:p w14:paraId="398BFE8D" w14:textId="77777777" w:rsidR="00DB15E9" w:rsidRDefault="0078312E">
      <w:pPr>
        <w:pStyle w:val="TOC3"/>
        <w:rPr>
          <w:rFonts w:asciiTheme="minorHAnsi" w:eastAsiaTheme="minorEastAsia" w:hAnsiTheme="minorHAnsi" w:cstheme="minorBidi"/>
          <w:noProof/>
          <w:sz w:val="22"/>
        </w:rPr>
      </w:pPr>
      <w:r>
        <w:rPr>
          <w:noProof/>
        </w:rPr>
        <w:t>B.3.1</w:t>
      </w:r>
      <w:r>
        <w:rPr>
          <w:rFonts w:asciiTheme="minorHAnsi" w:eastAsiaTheme="minorEastAsia" w:hAnsiTheme="minorHAnsi" w:cstheme="minorBidi"/>
          <w:noProof/>
          <w:sz w:val="22"/>
        </w:rPr>
        <w:tab/>
      </w:r>
      <w:r>
        <w:rPr>
          <w:noProof/>
        </w:rPr>
        <w:t>General Information</w:t>
      </w:r>
      <w:r>
        <w:rPr>
          <w:noProof/>
        </w:rPr>
        <w:tab/>
      </w:r>
      <w:r>
        <w:rPr>
          <w:noProof/>
        </w:rPr>
        <w:fldChar w:fldCharType="begin"/>
      </w:r>
      <w:r>
        <w:rPr>
          <w:noProof/>
        </w:rPr>
        <w:instrText xml:space="preserve"> PAGEREF _Toc471971536 \h </w:instrText>
      </w:r>
      <w:r>
        <w:rPr>
          <w:noProof/>
        </w:rPr>
      </w:r>
      <w:r>
        <w:rPr>
          <w:noProof/>
        </w:rPr>
        <w:fldChar w:fldCharType="separate"/>
      </w:r>
      <w:r>
        <w:rPr>
          <w:noProof/>
        </w:rPr>
        <w:t>82</w:t>
      </w:r>
      <w:r>
        <w:rPr>
          <w:noProof/>
        </w:rPr>
        <w:fldChar w:fldCharType="end"/>
      </w:r>
    </w:p>
    <w:p w14:paraId="4AB143E9" w14:textId="77777777" w:rsidR="00DB15E9" w:rsidRDefault="0078312E">
      <w:pPr>
        <w:pStyle w:val="TOC3"/>
        <w:rPr>
          <w:rFonts w:asciiTheme="minorHAnsi" w:eastAsiaTheme="minorEastAsia" w:hAnsiTheme="minorHAnsi" w:cstheme="minorBidi"/>
          <w:noProof/>
          <w:sz w:val="22"/>
        </w:rPr>
      </w:pPr>
      <w:r>
        <w:rPr>
          <w:noProof/>
        </w:rPr>
        <w:t>B.3.2</w:t>
      </w:r>
      <w:r>
        <w:rPr>
          <w:rFonts w:asciiTheme="minorHAnsi" w:eastAsiaTheme="minorEastAsia" w:hAnsiTheme="minorHAnsi" w:cstheme="minorBidi"/>
          <w:noProof/>
          <w:sz w:val="22"/>
        </w:rPr>
        <w:tab/>
      </w:r>
      <w:r>
        <w:rPr>
          <w:noProof/>
        </w:rPr>
        <w:t>Phases of Operation</w:t>
      </w:r>
      <w:r>
        <w:rPr>
          <w:noProof/>
        </w:rPr>
        <w:tab/>
      </w:r>
      <w:r>
        <w:rPr>
          <w:noProof/>
        </w:rPr>
        <w:fldChar w:fldCharType="begin"/>
      </w:r>
      <w:r>
        <w:rPr>
          <w:noProof/>
        </w:rPr>
        <w:instrText xml:space="preserve"> PAGEREF _Toc471971537 \h </w:instrText>
      </w:r>
      <w:r>
        <w:rPr>
          <w:noProof/>
        </w:rPr>
      </w:r>
      <w:r>
        <w:rPr>
          <w:noProof/>
        </w:rPr>
        <w:fldChar w:fldCharType="separate"/>
      </w:r>
      <w:r>
        <w:rPr>
          <w:noProof/>
        </w:rPr>
        <w:t>83</w:t>
      </w:r>
      <w:r>
        <w:rPr>
          <w:noProof/>
        </w:rPr>
        <w:fldChar w:fldCharType="end"/>
      </w:r>
    </w:p>
    <w:p w14:paraId="0D870F93" w14:textId="77777777" w:rsidR="00DB15E9" w:rsidRDefault="0078312E">
      <w:pPr>
        <w:pStyle w:val="TOC2"/>
        <w:rPr>
          <w:rFonts w:asciiTheme="minorHAnsi" w:eastAsiaTheme="minorEastAsia" w:hAnsiTheme="minorHAnsi" w:cstheme="minorBidi"/>
          <w:sz w:val="22"/>
          <w:szCs w:val="22"/>
        </w:rPr>
      </w:pPr>
      <w:r>
        <w:t>B.4 hosted payload operations</w:t>
      </w:r>
      <w:r>
        <w:tab/>
      </w:r>
      <w:r>
        <w:fldChar w:fldCharType="begin"/>
      </w:r>
      <w:r>
        <w:instrText xml:space="preserve"> PAGEREF _Toc471971538 \h </w:instrText>
      </w:r>
      <w:r>
        <w:fldChar w:fldCharType="separate"/>
      </w:r>
      <w:r>
        <w:t>86</w:t>
      </w:r>
      <w:r>
        <w:fldChar w:fldCharType="end"/>
      </w:r>
    </w:p>
    <w:p w14:paraId="116D2A49" w14:textId="77777777" w:rsidR="00DB15E9" w:rsidRDefault="0078312E">
      <w:pPr>
        <w:pStyle w:val="TOC3"/>
        <w:rPr>
          <w:rFonts w:asciiTheme="minorHAnsi" w:eastAsiaTheme="minorEastAsia" w:hAnsiTheme="minorHAnsi" w:cstheme="minorBidi"/>
          <w:noProof/>
          <w:sz w:val="22"/>
        </w:rPr>
      </w:pPr>
      <w:r>
        <w:rPr>
          <w:noProof/>
        </w:rPr>
        <w:t>B.4.1</w:t>
      </w:r>
      <w:r>
        <w:rPr>
          <w:rFonts w:asciiTheme="minorHAnsi" w:eastAsiaTheme="minorEastAsia" w:hAnsiTheme="minorHAnsi" w:cstheme="minorBidi"/>
          <w:noProof/>
          <w:sz w:val="22"/>
        </w:rPr>
        <w:tab/>
      </w:r>
      <w:r>
        <w:rPr>
          <w:noProof/>
        </w:rPr>
        <w:t>Instrument Modes of Operation</w:t>
      </w:r>
      <w:r>
        <w:rPr>
          <w:noProof/>
        </w:rPr>
        <w:tab/>
      </w:r>
      <w:r>
        <w:rPr>
          <w:noProof/>
        </w:rPr>
        <w:fldChar w:fldCharType="begin"/>
      </w:r>
      <w:r>
        <w:rPr>
          <w:noProof/>
        </w:rPr>
        <w:instrText xml:space="preserve"> PAGEREF _Toc471971539 \h </w:instrText>
      </w:r>
      <w:r>
        <w:rPr>
          <w:noProof/>
        </w:rPr>
      </w:r>
      <w:r>
        <w:rPr>
          <w:noProof/>
        </w:rPr>
        <w:fldChar w:fldCharType="separate"/>
      </w:r>
      <w:r>
        <w:rPr>
          <w:noProof/>
        </w:rPr>
        <w:t>86</w:t>
      </w:r>
      <w:r>
        <w:rPr>
          <w:noProof/>
        </w:rPr>
        <w:fldChar w:fldCharType="end"/>
      </w:r>
    </w:p>
    <w:p w14:paraId="23FBE89F" w14:textId="77777777" w:rsidR="00DB15E9" w:rsidRDefault="0078312E">
      <w:pPr>
        <w:pStyle w:val="TOC3"/>
        <w:rPr>
          <w:rFonts w:asciiTheme="minorHAnsi" w:eastAsiaTheme="minorEastAsia" w:hAnsiTheme="minorHAnsi" w:cstheme="minorBidi"/>
          <w:noProof/>
          <w:sz w:val="22"/>
        </w:rPr>
      </w:pPr>
      <w:r>
        <w:rPr>
          <w:noProof/>
        </w:rPr>
        <w:t>B.4.2</w:t>
      </w:r>
      <w:r>
        <w:rPr>
          <w:rFonts w:asciiTheme="minorHAnsi" w:eastAsiaTheme="minorEastAsia" w:hAnsiTheme="minorHAnsi" w:cstheme="minorBidi"/>
          <w:noProof/>
          <w:sz w:val="22"/>
        </w:rPr>
        <w:tab/>
      </w:r>
      <w:r>
        <w:rPr>
          <w:noProof/>
        </w:rPr>
        <w:t>Hosted Payload Commanding and Data Flow</w:t>
      </w:r>
      <w:r>
        <w:rPr>
          <w:noProof/>
        </w:rPr>
        <w:tab/>
      </w:r>
      <w:r>
        <w:rPr>
          <w:noProof/>
        </w:rPr>
        <w:fldChar w:fldCharType="begin"/>
      </w:r>
      <w:r>
        <w:rPr>
          <w:noProof/>
        </w:rPr>
        <w:instrText xml:space="preserve"> PAGEREF _Toc471971540 \h </w:instrText>
      </w:r>
      <w:r>
        <w:rPr>
          <w:noProof/>
        </w:rPr>
      </w:r>
      <w:r>
        <w:rPr>
          <w:noProof/>
        </w:rPr>
        <w:fldChar w:fldCharType="separate"/>
      </w:r>
      <w:r>
        <w:rPr>
          <w:noProof/>
        </w:rPr>
        <w:t>88</w:t>
      </w:r>
      <w:r>
        <w:rPr>
          <w:noProof/>
        </w:rPr>
        <w:fldChar w:fldCharType="end"/>
      </w:r>
    </w:p>
    <w:p w14:paraId="1217D4C9"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t>Appendix C</w:t>
      </w:r>
      <w:r>
        <w:rPr>
          <w:rFonts w:ascii="Helvetica" w:hAnsi="Helvetica"/>
        </w:rPr>
        <w:t xml:space="preserve"> Analysis for LEO Guidelines</w:t>
      </w:r>
      <w:r>
        <w:tab/>
      </w:r>
      <w:r>
        <w:fldChar w:fldCharType="begin"/>
      </w:r>
      <w:r>
        <w:instrText xml:space="preserve"> PAGEREF _Toc471971541 \h </w:instrText>
      </w:r>
      <w:r>
        <w:fldChar w:fldCharType="separate"/>
      </w:r>
      <w:r>
        <w:t>90</w:t>
      </w:r>
      <w:r>
        <w:fldChar w:fldCharType="end"/>
      </w:r>
    </w:p>
    <w:p w14:paraId="374ADF43"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t>Appendix D</w:t>
      </w:r>
      <w:r>
        <w:t xml:space="preserve"> Analysis for LEO Guidelines</w:t>
      </w:r>
      <w:r>
        <w:tab/>
      </w:r>
      <w:r>
        <w:fldChar w:fldCharType="begin"/>
      </w:r>
      <w:r>
        <w:instrText xml:space="preserve"> PAGEREF _Toc471971542 \h </w:instrText>
      </w:r>
      <w:r>
        <w:fldChar w:fldCharType="separate"/>
      </w:r>
      <w:r>
        <w:t>94</w:t>
      </w:r>
      <w:r>
        <w:fldChar w:fldCharType="end"/>
      </w:r>
    </w:p>
    <w:p w14:paraId="4E63E8AD"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lastRenderedPageBreak/>
        <w:t>Appendix E</w:t>
      </w:r>
      <w:r>
        <w:t xml:space="preserve"> Instrument Modes</w:t>
      </w:r>
      <w:r>
        <w:tab/>
      </w:r>
      <w:r>
        <w:fldChar w:fldCharType="begin"/>
      </w:r>
      <w:r>
        <w:instrText xml:space="preserve"> PAGEREF _Toc471971543 \h </w:instrText>
      </w:r>
      <w:r>
        <w:fldChar w:fldCharType="separate"/>
      </w:r>
      <w:r>
        <w:t>97</w:t>
      </w:r>
      <w:r>
        <w:fldChar w:fldCharType="end"/>
      </w:r>
    </w:p>
    <w:p w14:paraId="69E21ECB" w14:textId="77777777" w:rsidR="00DB15E9" w:rsidRDefault="0078312E">
      <w:pPr>
        <w:pStyle w:val="TOC2"/>
        <w:rPr>
          <w:rFonts w:asciiTheme="minorHAnsi" w:eastAsiaTheme="minorEastAsia" w:hAnsiTheme="minorHAnsi" w:cstheme="minorBidi"/>
          <w:sz w:val="22"/>
          <w:szCs w:val="22"/>
        </w:rPr>
      </w:pPr>
      <w:r>
        <w:t>E.1 Mode Guidelines</w:t>
      </w:r>
      <w:r>
        <w:tab/>
      </w:r>
      <w:r>
        <w:fldChar w:fldCharType="begin"/>
      </w:r>
      <w:r>
        <w:instrText xml:space="preserve"> PAGEREF _Toc471971544 \h </w:instrText>
      </w:r>
      <w:r>
        <w:fldChar w:fldCharType="separate"/>
      </w:r>
      <w:r>
        <w:t>97</w:t>
      </w:r>
      <w:r>
        <w:fldChar w:fldCharType="end"/>
      </w:r>
    </w:p>
    <w:p w14:paraId="22C44BCE" w14:textId="77777777" w:rsidR="00DB15E9" w:rsidRDefault="0078312E">
      <w:pPr>
        <w:pStyle w:val="TOC2"/>
        <w:rPr>
          <w:rFonts w:asciiTheme="minorHAnsi" w:eastAsiaTheme="minorEastAsia" w:hAnsiTheme="minorHAnsi" w:cstheme="minorBidi"/>
          <w:sz w:val="22"/>
          <w:szCs w:val="22"/>
        </w:rPr>
      </w:pPr>
      <w:r>
        <w:t>E.2 Mode Transitions</w:t>
      </w:r>
      <w:r>
        <w:tab/>
      </w:r>
      <w:r>
        <w:fldChar w:fldCharType="begin"/>
      </w:r>
      <w:r>
        <w:instrText xml:space="preserve"> PAGEREF _Toc471971545 \h </w:instrText>
      </w:r>
      <w:r>
        <w:fldChar w:fldCharType="separate"/>
      </w:r>
      <w:r>
        <w:t>99</w:t>
      </w:r>
      <w:r>
        <w:fldChar w:fldCharType="end"/>
      </w:r>
    </w:p>
    <w:p w14:paraId="5F9CF38D"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t>Appendix F</w:t>
      </w:r>
      <w:r>
        <w:t xml:space="preserve"> Examples of Data Deliverables for Verification</w:t>
      </w:r>
      <w:r>
        <w:tab/>
      </w:r>
      <w:r>
        <w:fldChar w:fldCharType="begin"/>
      </w:r>
      <w:r>
        <w:instrText xml:space="preserve"> PAGEREF _Toc471971546 \h </w:instrText>
      </w:r>
      <w:r>
        <w:fldChar w:fldCharType="separate"/>
      </w:r>
      <w:r>
        <w:t>101</w:t>
      </w:r>
      <w:r>
        <w:fldChar w:fldCharType="end"/>
      </w:r>
    </w:p>
    <w:p w14:paraId="233860A2" w14:textId="77777777" w:rsidR="00DB15E9" w:rsidRDefault="0078312E">
      <w:pPr>
        <w:pStyle w:val="TOC1"/>
        <w:rPr>
          <w:rFonts w:asciiTheme="minorHAnsi" w:hAnsiTheme="minorHAnsi"/>
          <w:caps w:val="0"/>
          <w:sz w:val="22"/>
          <w:szCs w:val="22"/>
        </w:rPr>
      </w:pPr>
      <w:r>
        <w:rPr>
          <w14:scene3d>
            <w14:camera w14:prst="orthographicFront"/>
            <w14:lightRig w14:rig="threePt" w14:dir="t">
              <w14:rot w14:lat="0" w14:lon="0" w14:rev="0"/>
            </w14:lightRig>
          </w14:scene3d>
        </w:rPr>
        <w:t>Appendix G</w:t>
      </w:r>
      <w:r>
        <w:t xml:space="preserve"> Examples of Payload-Provided Hardware and Associated Tasks</w:t>
      </w:r>
      <w:r>
        <w:tab/>
      </w:r>
      <w:r>
        <w:fldChar w:fldCharType="begin"/>
      </w:r>
      <w:r>
        <w:instrText xml:space="preserve"> PAGEREF _Toc471971547 \h </w:instrText>
      </w:r>
      <w:r>
        <w:fldChar w:fldCharType="separate"/>
      </w:r>
      <w:r>
        <w:t>102</w:t>
      </w:r>
      <w:r>
        <w:fldChar w:fldCharType="end"/>
      </w:r>
    </w:p>
    <w:p w14:paraId="44DFFCB8" w14:textId="77777777" w:rsidR="00DB15E9" w:rsidRDefault="0078312E">
      <w:pPr>
        <w:pStyle w:val="ESSPTableCaption"/>
        <w:rPr>
          <w:rFonts w:asciiTheme="majorHAnsi" w:eastAsiaTheme="minorEastAsia" w:hAnsiTheme="majorHAnsi" w:cstheme="majorHAnsi"/>
          <w:iCs/>
          <w:caps/>
          <w:sz w:val="26"/>
          <w:lang w:val="fr-FR"/>
        </w:rPr>
      </w:pPr>
      <w:r>
        <w:rPr>
          <w:rFonts w:asciiTheme="majorHAnsi" w:hAnsiTheme="majorHAnsi" w:cstheme="majorHAnsi"/>
          <w:iCs/>
          <w:noProof/>
          <w:szCs w:val="24"/>
        </w:rPr>
        <w:fldChar w:fldCharType="end"/>
      </w:r>
      <w:bookmarkStart w:id="3" w:name="x"/>
      <w:bookmarkEnd w:id="3"/>
      <w:r>
        <w:t>List of Tables</w:t>
      </w:r>
    </w:p>
    <w:p w14:paraId="5FEEFED3" w14:textId="77777777" w:rsidR="00DB15E9" w:rsidRDefault="0078312E">
      <w:pPr>
        <w:pStyle w:val="TableofFigures"/>
        <w:tabs>
          <w:tab w:val="right" w:leader="dot" w:pos="9350"/>
        </w:tabs>
        <w:rPr>
          <w:rFonts w:asciiTheme="majorHAnsi" w:hAnsiTheme="majorHAnsi" w:cstheme="majorHAnsi"/>
          <w:noProof/>
          <w:szCs w:val="24"/>
        </w:rPr>
      </w:pPr>
      <w:r>
        <w:rPr>
          <w:rFonts w:asciiTheme="majorHAnsi" w:hAnsiTheme="majorHAnsi" w:cstheme="majorHAnsi"/>
          <w:szCs w:val="24"/>
        </w:rPr>
        <w:fldChar w:fldCharType="begin"/>
      </w:r>
      <w:r>
        <w:rPr>
          <w:rFonts w:asciiTheme="majorHAnsi" w:hAnsiTheme="majorHAnsi" w:cstheme="majorHAnsi"/>
          <w:szCs w:val="24"/>
        </w:rPr>
        <w:instrText xml:space="preserve"> TOC \h \z \c "Table" \* </w:instrText>
      </w:r>
      <w:r>
        <w:instrText>Charformat</w:instrText>
      </w:r>
      <w:r>
        <w:rPr>
          <w:rFonts w:asciiTheme="majorHAnsi" w:hAnsiTheme="majorHAnsi" w:cstheme="majorHAnsi"/>
          <w:szCs w:val="24"/>
        </w:rPr>
        <w:instrText xml:space="preserve"> </w:instrText>
      </w:r>
      <w:r>
        <w:rPr>
          <w:rFonts w:asciiTheme="majorHAnsi" w:hAnsiTheme="majorHAnsi" w:cstheme="majorHAnsi"/>
          <w:szCs w:val="24"/>
        </w:rPr>
        <w:fldChar w:fldCharType="separate"/>
      </w:r>
      <w:hyperlink w:anchor="_Toc471971548" w:history="1">
        <w:r>
          <w:rPr>
            <w:rFonts w:asciiTheme="majorHAnsi" w:hAnsiTheme="majorHAnsi" w:cstheme="majorHAnsi"/>
            <w:noProof/>
            <w:szCs w:val="24"/>
          </w:rPr>
          <w:t>Table 1</w:t>
        </w:r>
        <w:r>
          <w:rPr>
            <w:rFonts w:asciiTheme="majorHAnsi" w:hAnsiTheme="majorHAnsi" w:cstheme="majorHAnsi"/>
            <w:noProof/>
            <w:szCs w:val="24"/>
          </w:rPr>
          <w:noBreakHyphen/>
          <w:t>1: HPIG and ESA Hosted Payload Technical Guideline Differences</w:t>
        </w:r>
        <w:r>
          <w:rPr>
            <w:rFonts w:asciiTheme="majorHAnsi" w:hAnsiTheme="majorHAnsi" w:cstheme="majorHAnsi"/>
            <w:noProof/>
            <w:webHidden/>
            <w:szCs w:val="24"/>
          </w:rPr>
          <w:tab/>
        </w:r>
        <w:r>
          <w:rPr>
            <w:rFonts w:asciiTheme="majorHAnsi" w:hAnsiTheme="majorHAnsi" w:cstheme="majorHAnsi"/>
            <w:noProof/>
            <w:webHidden/>
            <w:szCs w:val="24"/>
          </w:rPr>
          <w:fldChar w:fldCharType="begin"/>
        </w:r>
        <w:r>
          <w:rPr>
            <w:rFonts w:asciiTheme="majorHAnsi" w:hAnsiTheme="majorHAnsi" w:cstheme="majorHAnsi"/>
            <w:noProof/>
            <w:webHidden/>
            <w:szCs w:val="24"/>
          </w:rPr>
          <w:instrText xml:space="preserve"> PAGEREF _Toc471971548 \h </w:instrText>
        </w:r>
        <w:r>
          <w:rPr>
            <w:rFonts w:asciiTheme="majorHAnsi" w:hAnsiTheme="majorHAnsi" w:cstheme="majorHAnsi"/>
            <w:noProof/>
            <w:webHidden/>
            <w:szCs w:val="24"/>
          </w:rPr>
        </w:r>
        <w:r>
          <w:rPr>
            <w:rFonts w:asciiTheme="majorHAnsi" w:hAnsiTheme="majorHAnsi" w:cstheme="majorHAnsi"/>
            <w:noProof/>
            <w:webHidden/>
            <w:szCs w:val="24"/>
          </w:rPr>
          <w:fldChar w:fldCharType="separate"/>
        </w:r>
        <w:r>
          <w:rPr>
            <w:rFonts w:asciiTheme="majorHAnsi" w:hAnsiTheme="majorHAnsi" w:cstheme="majorHAnsi"/>
            <w:noProof/>
            <w:webHidden/>
            <w:szCs w:val="24"/>
          </w:rPr>
          <w:t>6</w:t>
        </w:r>
        <w:r>
          <w:rPr>
            <w:rFonts w:asciiTheme="majorHAnsi" w:hAnsiTheme="majorHAnsi" w:cstheme="majorHAnsi"/>
            <w:noProof/>
            <w:webHidden/>
            <w:szCs w:val="24"/>
          </w:rPr>
          <w:fldChar w:fldCharType="end"/>
        </w:r>
      </w:hyperlink>
    </w:p>
    <w:p w14:paraId="6EB2D8A4" w14:textId="77777777" w:rsidR="00DB15E9" w:rsidRDefault="00BA5284">
      <w:pPr>
        <w:pStyle w:val="TableofFigures"/>
        <w:tabs>
          <w:tab w:val="right" w:leader="dot" w:pos="9350"/>
        </w:tabs>
        <w:rPr>
          <w:rFonts w:asciiTheme="majorHAnsi" w:hAnsiTheme="majorHAnsi" w:cstheme="majorHAnsi"/>
          <w:noProof/>
          <w:szCs w:val="24"/>
        </w:rPr>
      </w:pPr>
      <w:hyperlink w:anchor="_Toc471971549"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1: Example of Power Source Impedance Function</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_Toc471971549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12</w:t>
        </w:r>
        <w:r w:rsidR="0078312E">
          <w:rPr>
            <w:rFonts w:asciiTheme="majorHAnsi" w:hAnsiTheme="majorHAnsi" w:cstheme="majorHAnsi"/>
            <w:noProof/>
            <w:webHidden/>
            <w:szCs w:val="24"/>
          </w:rPr>
          <w:fldChar w:fldCharType="end"/>
        </w:r>
      </w:hyperlink>
    </w:p>
    <w:p w14:paraId="5E2DEC4F" w14:textId="77777777" w:rsidR="00DB15E9" w:rsidRDefault="00BA5284">
      <w:pPr>
        <w:pStyle w:val="TableofFigures"/>
        <w:tabs>
          <w:tab w:val="right" w:leader="dot" w:pos="9350"/>
        </w:tabs>
        <w:rPr>
          <w:rFonts w:asciiTheme="majorHAnsi" w:hAnsiTheme="majorHAnsi" w:cstheme="majorHAnsi"/>
          <w:noProof/>
          <w:szCs w:val="24"/>
        </w:rPr>
      </w:pPr>
      <w:hyperlink w:anchor="_Toc471971550"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2: Instrument Power Allocation</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_Toc471971550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14</w:t>
        </w:r>
        <w:r w:rsidR="0078312E">
          <w:rPr>
            <w:rFonts w:asciiTheme="majorHAnsi" w:hAnsiTheme="majorHAnsi" w:cstheme="majorHAnsi"/>
            <w:noProof/>
            <w:webHidden/>
            <w:szCs w:val="24"/>
          </w:rPr>
          <w:fldChar w:fldCharType="end"/>
        </w:r>
      </w:hyperlink>
    </w:p>
    <w:p w14:paraId="22CF7FB9" w14:textId="77777777" w:rsidR="00DB15E9" w:rsidRDefault="00BA5284">
      <w:pPr>
        <w:pStyle w:val="TableofFigures"/>
        <w:tabs>
          <w:tab w:val="right" w:leader="dot" w:pos="9350"/>
        </w:tabs>
        <w:rPr>
          <w:rFonts w:asciiTheme="majorHAnsi" w:hAnsiTheme="majorHAnsi" w:cstheme="majorHAnsi"/>
          <w:noProof/>
          <w:szCs w:val="24"/>
        </w:rPr>
      </w:pPr>
      <w:hyperlink w:anchor="_Toc471971551"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3: Worst-case Backloading on Payload Radiator</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_Toc471971551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17</w:t>
        </w:r>
        <w:r w:rsidR="0078312E">
          <w:rPr>
            <w:rFonts w:asciiTheme="majorHAnsi" w:hAnsiTheme="majorHAnsi" w:cstheme="majorHAnsi"/>
            <w:noProof/>
            <w:webHidden/>
            <w:szCs w:val="24"/>
          </w:rPr>
          <w:fldChar w:fldCharType="end"/>
        </w:r>
      </w:hyperlink>
    </w:p>
    <w:p w14:paraId="0D639AB3" w14:textId="77777777" w:rsidR="00DB15E9" w:rsidRDefault="00BA5284">
      <w:pPr>
        <w:pStyle w:val="TableofFigures"/>
        <w:tabs>
          <w:tab w:val="right" w:leader="dot" w:pos="9350"/>
        </w:tabs>
        <w:rPr>
          <w:rFonts w:asciiTheme="majorHAnsi" w:hAnsiTheme="majorHAnsi" w:cstheme="majorHAnsi"/>
          <w:noProof/>
          <w:szCs w:val="24"/>
        </w:rPr>
      </w:pPr>
      <w:hyperlink w:anchor="_Toc471971552"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4: Mass Acceleration Curve Design Limit Loads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_Toc471971552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24</w:t>
        </w:r>
        <w:r w:rsidR="0078312E">
          <w:rPr>
            <w:rFonts w:asciiTheme="majorHAnsi" w:hAnsiTheme="majorHAnsi" w:cstheme="majorHAnsi"/>
            <w:noProof/>
            <w:webHidden/>
            <w:szCs w:val="24"/>
          </w:rPr>
          <w:fldChar w:fldCharType="end"/>
        </w:r>
      </w:hyperlink>
    </w:p>
    <w:p w14:paraId="41328B3C" w14:textId="77777777" w:rsidR="00DB15E9" w:rsidRDefault="00BA5284">
      <w:pPr>
        <w:pStyle w:val="TableofFigures"/>
        <w:tabs>
          <w:tab w:val="right" w:leader="dot" w:pos="9350"/>
        </w:tabs>
        <w:rPr>
          <w:rFonts w:asciiTheme="majorHAnsi" w:hAnsiTheme="majorHAnsi" w:cstheme="majorHAnsi"/>
          <w:noProof/>
          <w:szCs w:val="24"/>
        </w:rPr>
      </w:pPr>
      <w:hyperlink w:anchor="_Toc471971553"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5: Sinusoidal Vibration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_Toc471971553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25</w:t>
        </w:r>
        <w:r w:rsidR="0078312E">
          <w:rPr>
            <w:rFonts w:asciiTheme="majorHAnsi" w:hAnsiTheme="majorHAnsi" w:cstheme="majorHAnsi"/>
            <w:noProof/>
            <w:webHidden/>
            <w:szCs w:val="24"/>
          </w:rPr>
          <w:fldChar w:fldCharType="end"/>
        </w:r>
      </w:hyperlink>
    </w:p>
    <w:p w14:paraId="4B145E34" w14:textId="77777777" w:rsidR="00DB15E9" w:rsidRDefault="00BA5284">
      <w:pPr>
        <w:pStyle w:val="TableofFigures"/>
        <w:tabs>
          <w:tab w:val="right" w:leader="dot" w:pos="9350"/>
        </w:tabs>
        <w:rPr>
          <w:rFonts w:asciiTheme="majorHAnsi" w:hAnsiTheme="majorHAnsi" w:cstheme="majorHAnsi"/>
          <w:noProof/>
          <w:szCs w:val="24"/>
        </w:rPr>
      </w:pPr>
      <w:hyperlink w:anchor="_Toc471971554"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6: Random Vibration Environment (derived from GEVS-SE, Table 2.4-4)</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_Toc471971554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26</w:t>
        </w:r>
        <w:r w:rsidR="0078312E">
          <w:rPr>
            <w:rFonts w:asciiTheme="majorHAnsi" w:hAnsiTheme="majorHAnsi" w:cstheme="majorHAnsi"/>
            <w:noProof/>
            <w:webHidden/>
            <w:szCs w:val="24"/>
          </w:rPr>
          <w:fldChar w:fldCharType="end"/>
        </w:r>
      </w:hyperlink>
    </w:p>
    <w:p w14:paraId="676ECFD3" w14:textId="77777777" w:rsidR="00DB15E9" w:rsidRDefault="00BA5284">
      <w:pPr>
        <w:pStyle w:val="TableofFigures"/>
        <w:tabs>
          <w:tab w:val="right" w:leader="dot" w:pos="9350"/>
        </w:tabs>
        <w:rPr>
          <w:rFonts w:asciiTheme="majorHAnsi" w:hAnsiTheme="majorHAnsi" w:cstheme="majorHAnsi"/>
          <w:noProof/>
          <w:szCs w:val="24"/>
        </w:rPr>
      </w:pPr>
      <w:hyperlink w:anchor="_Toc471971555"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7: Acoustic Noise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_Toc471971555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27</w:t>
        </w:r>
        <w:r w:rsidR="0078312E">
          <w:rPr>
            <w:rFonts w:asciiTheme="majorHAnsi" w:hAnsiTheme="majorHAnsi" w:cstheme="majorHAnsi"/>
            <w:noProof/>
            <w:webHidden/>
            <w:szCs w:val="24"/>
          </w:rPr>
          <w:fldChar w:fldCharType="end"/>
        </w:r>
      </w:hyperlink>
    </w:p>
    <w:p w14:paraId="2127B0D0" w14:textId="77777777" w:rsidR="00DB15E9" w:rsidRDefault="00BA5284">
      <w:pPr>
        <w:pStyle w:val="TableofFigures"/>
        <w:tabs>
          <w:tab w:val="right" w:leader="dot" w:pos="9350"/>
        </w:tabs>
        <w:rPr>
          <w:rFonts w:asciiTheme="majorHAnsi" w:hAnsiTheme="majorHAnsi" w:cstheme="majorHAnsi"/>
          <w:noProof/>
          <w:szCs w:val="24"/>
        </w:rPr>
      </w:pPr>
      <w:hyperlink w:anchor="_Toc471971556"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8: Shock Response Spectrum (Q=10)</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_Toc471971556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28</w:t>
        </w:r>
        <w:r w:rsidR="0078312E">
          <w:rPr>
            <w:rFonts w:asciiTheme="majorHAnsi" w:hAnsiTheme="majorHAnsi" w:cstheme="majorHAnsi"/>
            <w:noProof/>
            <w:webHidden/>
            <w:szCs w:val="24"/>
          </w:rPr>
          <w:fldChar w:fldCharType="end"/>
        </w:r>
      </w:hyperlink>
    </w:p>
    <w:p w14:paraId="0AB6E944" w14:textId="77777777" w:rsidR="00DB15E9" w:rsidRDefault="00BA5284">
      <w:pPr>
        <w:pStyle w:val="TableofFigures"/>
        <w:tabs>
          <w:tab w:val="right" w:leader="dot" w:pos="9350"/>
        </w:tabs>
        <w:rPr>
          <w:rFonts w:asciiTheme="majorHAnsi" w:hAnsiTheme="majorHAnsi" w:cstheme="majorHAnsi"/>
          <w:noProof/>
          <w:szCs w:val="24"/>
        </w:rPr>
      </w:pPr>
      <w:hyperlink w:anchor="_Toc471971557"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9: Thermal Radiation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_Toc471971557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30</w:t>
        </w:r>
        <w:r w:rsidR="0078312E">
          <w:rPr>
            <w:rFonts w:asciiTheme="majorHAnsi" w:hAnsiTheme="majorHAnsi" w:cstheme="majorHAnsi"/>
            <w:noProof/>
            <w:webHidden/>
            <w:szCs w:val="24"/>
          </w:rPr>
          <w:fldChar w:fldCharType="end"/>
        </w:r>
      </w:hyperlink>
    </w:p>
    <w:p w14:paraId="261F970B" w14:textId="77777777" w:rsidR="00DB15E9" w:rsidRDefault="00BA5284">
      <w:pPr>
        <w:pStyle w:val="TableofFigures"/>
        <w:tabs>
          <w:tab w:val="right" w:leader="dot" w:pos="9350"/>
        </w:tabs>
        <w:rPr>
          <w:rFonts w:asciiTheme="majorHAnsi" w:hAnsiTheme="majorHAnsi" w:cstheme="majorHAnsi"/>
          <w:noProof/>
          <w:szCs w:val="24"/>
        </w:rPr>
      </w:pPr>
      <w:hyperlink w:anchor="_Toc471971558"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10: [LEO] Total Ionizing Dose Radiation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_Toc471971558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32</w:t>
        </w:r>
        <w:r w:rsidR="0078312E">
          <w:rPr>
            <w:rFonts w:asciiTheme="majorHAnsi" w:hAnsiTheme="majorHAnsi" w:cstheme="majorHAnsi"/>
            <w:noProof/>
            <w:webHidden/>
            <w:szCs w:val="24"/>
          </w:rPr>
          <w:fldChar w:fldCharType="end"/>
        </w:r>
      </w:hyperlink>
    </w:p>
    <w:p w14:paraId="24F24376" w14:textId="77777777" w:rsidR="00DB15E9" w:rsidRDefault="00BA5284">
      <w:pPr>
        <w:pStyle w:val="TableofFigures"/>
        <w:tabs>
          <w:tab w:val="right" w:leader="dot" w:pos="9350"/>
        </w:tabs>
        <w:rPr>
          <w:rFonts w:asciiTheme="majorHAnsi" w:hAnsiTheme="majorHAnsi" w:cstheme="majorHAnsi"/>
          <w:noProof/>
          <w:szCs w:val="24"/>
        </w:rPr>
      </w:pPr>
      <w:hyperlink w:anchor="_Toc471971559"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11: Worst-case Micrometeoroid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_Toc471971559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33</w:t>
        </w:r>
        <w:r w:rsidR="0078312E">
          <w:rPr>
            <w:rFonts w:asciiTheme="majorHAnsi" w:hAnsiTheme="majorHAnsi" w:cstheme="majorHAnsi"/>
            <w:noProof/>
            <w:webHidden/>
            <w:szCs w:val="24"/>
          </w:rPr>
          <w:fldChar w:fldCharType="end"/>
        </w:r>
      </w:hyperlink>
    </w:p>
    <w:p w14:paraId="7D12BDC3" w14:textId="77777777" w:rsidR="00DB15E9" w:rsidRDefault="00BA5284">
      <w:pPr>
        <w:pStyle w:val="TableofFigures"/>
        <w:tabs>
          <w:tab w:val="right" w:leader="dot" w:pos="9350"/>
        </w:tabs>
        <w:rPr>
          <w:rFonts w:asciiTheme="majorHAnsi" w:hAnsiTheme="majorHAnsi" w:cstheme="majorHAnsi"/>
          <w:noProof/>
          <w:szCs w:val="24"/>
        </w:rPr>
      </w:pPr>
      <w:hyperlink w:anchor="_Toc471971560" w:history="1">
        <w:r w:rsidR="0078312E">
          <w:rPr>
            <w:rFonts w:asciiTheme="majorHAnsi" w:hAnsiTheme="majorHAnsi" w:cstheme="majorHAnsi"/>
            <w:noProof/>
            <w:szCs w:val="24"/>
          </w:rPr>
          <w:t>Table 2</w:t>
        </w:r>
        <w:r w:rsidR="0078312E">
          <w:rPr>
            <w:rFonts w:asciiTheme="majorHAnsi" w:hAnsiTheme="majorHAnsi" w:cstheme="majorHAnsi"/>
            <w:noProof/>
            <w:szCs w:val="24"/>
          </w:rPr>
          <w:noBreakHyphen/>
          <w:t>12: [LEO] Worst-case Artificial Space Debris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_Toc471971560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35</w:t>
        </w:r>
        <w:r w:rsidR="0078312E">
          <w:rPr>
            <w:rFonts w:asciiTheme="majorHAnsi" w:hAnsiTheme="majorHAnsi" w:cstheme="majorHAnsi"/>
            <w:noProof/>
            <w:webHidden/>
            <w:szCs w:val="24"/>
          </w:rPr>
          <w:fldChar w:fldCharType="end"/>
        </w:r>
      </w:hyperlink>
    </w:p>
    <w:p w14:paraId="5306CF02" w14:textId="77777777" w:rsidR="00DB15E9" w:rsidRDefault="00BA5284">
      <w:pPr>
        <w:pStyle w:val="TableofFigures"/>
        <w:tabs>
          <w:tab w:val="right" w:leader="dot" w:pos="9350"/>
        </w:tabs>
        <w:rPr>
          <w:rFonts w:asciiTheme="majorHAnsi" w:hAnsiTheme="majorHAnsi" w:cstheme="majorHAnsi"/>
          <w:noProof/>
          <w:szCs w:val="24"/>
        </w:rPr>
      </w:pPr>
      <w:hyperlink w:anchor="_Toc471971561"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1: Example of Power Source Impedance Function</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_Toc471971561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43</w:t>
        </w:r>
        <w:r w:rsidR="0078312E">
          <w:rPr>
            <w:rFonts w:asciiTheme="majorHAnsi" w:hAnsiTheme="majorHAnsi" w:cstheme="majorHAnsi"/>
            <w:noProof/>
            <w:webHidden/>
            <w:szCs w:val="24"/>
          </w:rPr>
          <w:fldChar w:fldCharType="end"/>
        </w:r>
      </w:hyperlink>
    </w:p>
    <w:p w14:paraId="47407297" w14:textId="77777777" w:rsidR="00DB15E9" w:rsidRDefault="00BA5284">
      <w:pPr>
        <w:pStyle w:val="TableofFigures"/>
        <w:tabs>
          <w:tab w:val="right" w:leader="dot" w:pos="9350"/>
        </w:tabs>
        <w:rPr>
          <w:rFonts w:asciiTheme="majorHAnsi" w:hAnsiTheme="majorHAnsi" w:cstheme="majorHAnsi"/>
          <w:noProof/>
          <w:szCs w:val="24"/>
        </w:rPr>
      </w:pPr>
      <w:hyperlink w:anchor="_Toc471971562"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2: Instrument Power Allocation</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_Toc471971562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46</w:t>
        </w:r>
        <w:r w:rsidR="0078312E">
          <w:rPr>
            <w:rFonts w:asciiTheme="majorHAnsi" w:hAnsiTheme="majorHAnsi" w:cstheme="majorHAnsi"/>
            <w:noProof/>
            <w:webHidden/>
            <w:szCs w:val="24"/>
          </w:rPr>
          <w:fldChar w:fldCharType="end"/>
        </w:r>
      </w:hyperlink>
    </w:p>
    <w:p w14:paraId="0E78F628" w14:textId="77777777" w:rsidR="00DB15E9" w:rsidRDefault="00BA5284">
      <w:pPr>
        <w:pStyle w:val="TableofFigures"/>
        <w:tabs>
          <w:tab w:val="right" w:leader="dot" w:pos="9350"/>
        </w:tabs>
        <w:rPr>
          <w:rFonts w:asciiTheme="majorHAnsi" w:hAnsiTheme="majorHAnsi" w:cstheme="majorHAnsi"/>
          <w:noProof/>
          <w:szCs w:val="24"/>
        </w:rPr>
      </w:pPr>
      <w:hyperlink w:anchor="_Toc471971563"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3: Worst-case Backloading on Payload Radiator</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_Toc471971563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50</w:t>
        </w:r>
        <w:r w:rsidR="0078312E">
          <w:rPr>
            <w:rFonts w:asciiTheme="majorHAnsi" w:hAnsiTheme="majorHAnsi" w:cstheme="majorHAnsi"/>
            <w:noProof/>
            <w:webHidden/>
            <w:szCs w:val="24"/>
          </w:rPr>
          <w:fldChar w:fldCharType="end"/>
        </w:r>
      </w:hyperlink>
    </w:p>
    <w:p w14:paraId="51881434" w14:textId="77777777" w:rsidR="00DB15E9" w:rsidRDefault="00BA5284">
      <w:pPr>
        <w:pStyle w:val="TableofFigures"/>
        <w:tabs>
          <w:tab w:val="right" w:leader="dot" w:pos="9350"/>
        </w:tabs>
        <w:rPr>
          <w:rFonts w:asciiTheme="majorHAnsi" w:hAnsiTheme="majorHAnsi" w:cstheme="majorHAnsi"/>
          <w:noProof/>
          <w:szCs w:val="24"/>
        </w:rPr>
      </w:pPr>
      <w:hyperlink w:anchor="_Toc471971564"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4: Mass Acceleration Curve Design Load Limits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_Toc471971564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57</w:t>
        </w:r>
        <w:r w:rsidR="0078312E">
          <w:rPr>
            <w:rFonts w:asciiTheme="majorHAnsi" w:hAnsiTheme="majorHAnsi" w:cstheme="majorHAnsi"/>
            <w:noProof/>
            <w:webHidden/>
            <w:szCs w:val="24"/>
          </w:rPr>
          <w:fldChar w:fldCharType="end"/>
        </w:r>
      </w:hyperlink>
    </w:p>
    <w:p w14:paraId="6C7BE727" w14:textId="77777777" w:rsidR="00DB15E9" w:rsidRDefault="00BA5284">
      <w:pPr>
        <w:pStyle w:val="TableofFigures"/>
        <w:tabs>
          <w:tab w:val="right" w:leader="dot" w:pos="9350"/>
        </w:tabs>
        <w:rPr>
          <w:rFonts w:asciiTheme="majorHAnsi" w:hAnsiTheme="majorHAnsi" w:cstheme="majorHAnsi"/>
          <w:noProof/>
          <w:szCs w:val="24"/>
        </w:rPr>
      </w:pPr>
      <w:hyperlink w:anchor="_Toc471971565"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5: Sinusoidal Vibration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_Toc471971565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58</w:t>
        </w:r>
        <w:r w:rsidR="0078312E">
          <w:rPr>
            <w:rFonts w:asciiTheme="majorHAnsi" w:hAnsiTheme="majorHAnsi" w:cstheme="majorHAnsi"/>
            <w:noProof/>
            <w:webHidden/>
            <w:szCs w:val="24"/>
          </w:rPr>
          <w:fldChar w:fldCharType="end"/>
        </w:r>
      </w:hyperlink>
    </w:p>
    <w:p w14:paraId="685FC252" w14:textId="77777777" w:rsidR="00DB15E9" w:rsidRDefault="00BA5284">
      <w:pPr>
        <w:pStyle w:val="TableofFigures"/>
        <w:tabs>
          <w:tab w:val="right" w:leader="dot" w:pos="9350"/>
        </w:tabs>
        <w:rPr>
          <w:rFonts w:asciiTheme="majorHAnsi" w:hAnsiTheme="majorHAnsi" w:cstheme="majorHAnsi"/>
          <w:noProof/>
          <w:szCs w:val="24"/>
        </w:rPr>
      </w:pPr>
      <w:hyperlink w:anchor="_Toc471971566"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6: Random Vibration Levels – All Axes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_Toc471971566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59</w:t>
        </w:r>
        <w:r w:rsidR="0078312E">
          <w:rPr>
            <w:rFonts w:asciiTheme="majorHAnsi" w:hAnsiTheme="majorHAnsi" w:cstheme="majorHAnsi"/>
            <w:noProof/>
            <w:webHidden/>
            <w:szCs w:val="24"/>
          </w:rPr>
          <w:fldChar w:fldCharType="end"/>
        </w:r>
      </w:hyperlink>
    </w:p>
    <w:p w14:paraId="3CAEA712" w14:textId="77777777" w:rsidR="00DB15E9" w:rsidRDefault="00BA5284">
      <w:pPr>
        <w:pStyle w:val="TableofFigures"/>
        <w:tabs>
          <w:tab w:val="right" w:leader="dot" w:pos="9350"/>
        </w:tabs>
        <w:rPr>
          <w:rFonts w:asciiTheme="majorHAnsi" w:hAnsiTheme="majorHAnsi" w:cstheme="majorHAnsi"/>
          <w:noProof/>
          <w:szCs w:val="24"/>
        </w:rPr>
      </w:pPr>
      <w:hyperlink w:anchor="_Toc471971567"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7: Acoustic Noise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_Toc471971567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60</w:t>
        </w:r>
        <w:r w:rsidR="0078312E">
          <w:rPr>
            <w:rFonts w:asciiTheme="majorHAnsi" w:hAnsiTheme="majorHAnsi" w:cstheme="majorHAnsi"/>
            <w:noProof/>
            <w:webHidden/>
            <w:szCs w:val="24"/>
          </w:rPr>
          <w:fldChar w:fldCharType="end"/>
        </w:r>
      </w:hyperlink>
    </w:p>
    <w:p w14:paraId="134C2ADE" w14:textId="77777777" w:rsidR="00DB15E9" w:rsidRDefault="00BA5284">
      <w:pPr>
        <w:pStyle w:val="TableofFigures"/>
        <w:tabs>
          <w:tab w:val="right" w:leader="dot" w:pos="9350"/>
        </w:tabs>
        <w:rPr>
          <w:rFonts w:asciiTheme="majorHAnsi" w:hAnsiTheme="majorHAnsi" w:cstheme="majorHAnsi"/>
          <w:noProof/>
          <w:szCs w:val="24"/>
        </w:rPr>
      </w:pPr>
      <w:hyperlink w:anchor="_Toc471971568"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8: Shock Response Spectrum (Q=10)</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_Toc471971568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61</w:t>
        </w:r>
        <w:r w:rsidR="0078312E">
          <w:rPr>
            <w:rFonts w:asciiTheme="majorHAnsi" w:hAnsiTheme="majorHAnsi" w:cstheme="majorHAnsi"/>
            <w:noProof/>
            <w:webHidden/>
            <w:szCs w:val="24"/>
          </w:rPr>
          <w:fldChar w:fldCharType="end"/>
        </w:r>
      </w:hyperlink>
    </w:p>
    <w:p w14:paraId="6C154B81" w14:textId="77777777" w:rsidR="00DB15E9" w:rsidRDefault="00BA5284">
      <w:pPr>
        <w:pStyle w:val="TableofFigures"/>
        <w:tabs>
          <w:tab w:val="right" w:leader="dot" w:pos="9350"/>
        </w:tabs>
        <w:rPr>
          <w:rFonts w:asciiTheme="majorHAnsi" w:hAnsiTheme="majorHAnsi" w:cstheme="majorHAnsi"/>
          <w:noProof/>
          <w:szCs w:val="24"/>
        </w:rPr>
      </w:pPr>
      <w:hyperlink w:anchor="_Toc471971569"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9: Thermal Radiation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_Toc471971569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63</w:t>
        </w:r>
        <w:r w:rsidR="0078312E">
          <w:rPr>
            <w:rFonts w:asciiTheme="majorHAnsi" w:hAnsiTheme="majorHAnsi" w:cstheme="majorHAnsi"/>
            <w:noProof/>
            <w:webHidden/>
            <w:szCs w:val="24"/>
          </w:rPr>
          <w:fldChar w:fldCharType="end"/>
        </w:r>
      </w:hyperlink>
    </w:p>
    <w:p w14:paraId="07FE914C" w14:textId="77777777" w:rsidR="00DB15E9" w:rsidRDefault="00BA5284">
      <w:pPr>
        <w:pStyle w:val="TableofFigures"/>
        <w:tabs>
          <w:tab w:val="right" w:leader="dot" w:pos="9350"/>
        </w:tabs>
        <w:rPr>
          <w:rFonts w:asciiTheme="majorHAnsi" w:hAnsiTheme="majorHAnsi" w:cstheme="majorHAnsi"/>
          <w:noProof/>
          <w:szCs w:val="24"/>
        </w:rPr>
      </w:pPr>
      <w:hyperlink w:anchor="_Toc471971570"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10: [GEO] Total Ionizing Dose Radiation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_Toc471971570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64</w:t>
        </w:r>
        <w:r w:rsidR="0078312E">
          <w:rPr>
            <w:rFonts w:asciiTheme="majorHAnsi" w:hAnsiTheme="majorHAnsi" w:cstheme="majorHAnsi"/>
            <w:noProof/>
            <w:webHidden/>
            <w:szCs w:val="24"/>
          </w:rPr>
          <w:fldChar w:fldCharType="end"/>
        </w:r>
      </w:hyperlink>
    </w:p>
    <w:p w14:paraId="4C18C6C8" w14:textId="77777777" w:rsidR="00DB15E9" w:rsidRDefault="00BA5284">
      <w:pPr>
        <w:pStyle w:val="TableofFigures"/>
        <w:tabs>
          <w:tab w:val="right" w:leader="dot" w:pos="9350"/>
        </w:tabs>
        <w:rPr>
          <w:rFonts w:asciiTheme="majorHAnsi" w:hAnsiTheme="majorHAnsi" w:cstheme="majorHAnsi"/>
          <w:noProof/>
          <w:szCs w:val="24"/>
        </w:rPr>
      </w:pPr>
      <w:hyperlink w:anchor="_Toc471971571"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11: Particle fluxes in GEO w/ 100 mils of Aluminum Shielding</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_Toc471971571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66</w:t>
        </w:r>
        <w:r w:rsidR="0078312E">
          <w:rPr>
            <w:rFonts w:asciiTheme="majorHAnsi" w:hAnsiTheme="majorHAnsi" w:cstheme="majorHAnsi"/>
            <w:noProof/>
            <w:webHidden/>
            <w:szCs w:val="24"/>
          </w:rPr>
          <w:fldChar w:fldCharType="end"/>
        </w:r>
      </w:hyperlink>
    </w:p>
    <w:p w14:paraId="6D8ECD01" w14:textId="77777777" w:rsidR="00DB15E9" w:rsidRDefault="00BA5284">
      <w:pPr>
        <w:pStyle w:val="TableofFigures"/>
        <w:tabs>
          <w:tab w:val="right" w:leader="dot" w:pos="9350"/>
        </w:tabs>
        <w:rPr>
          <w:rFonts w:asciiTheme="majorHAnsi" w:hAnsiTheme="majorHAnsi" w:cstheme="majorHAnsi"/>
          <w:noProof/>
          <w:szCs w:val="24"/>
        </w:rPr>
      </w:pPr>
      <w:hyperlink w:anchor="_Toc471971572"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12: Worst-case Micrometeoroid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_Toc471971572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67</w:t>
        </w:r>
        <w:r w:rsidR="0078312E">
          <w:rPr>
            <w:rFonts w:asciiTheme="majorHAnsi" w:hAnsiTheme="majorHAnsi" w:cstheme="majorHAnsi"/>
            <w:noProof/>
            <w:webHidden/>
            <w:szCs w:val="24"/>
          </w:rPr>
          <w:fldChar w:fldCharType="end"/>
        </w:r>
      </w:hyperlink>
    </w:p>
    <w:p w14:paraId="1A5BA437" w14:textId="77777777" w:rsidR="00DB15E9" w:rsidRDefault="00BA5284">
      <w:pPr>
        <w:pStyle w:val="TableofFigures"/>
        <w:tabs>
          <w:tab w:val="right" w:leader="dot" w:pos="9350"/>
        </w:tabs>
        <w:rPr>
          <w:rFonts w:asciiTheme="majorHAnsi" w:hAnsiTheme="majorHAnsi" w:cstheme="majorHAnsi"/>
          <w:noProof/>
          <w:szCs w:val="24"/>
        </w:rPr>
      </w:pPr>
      <w:hyperlink w:anchor="_Toc471971573" w:history="1">
        <w:r w:rsidR="0078312E">
          <w:rPr>
            <w:rFonts w:asciiTheme="majorHAnsi" w:hAnsiTheme="majorHAnsi" w:cstheme="majorHAnsi"/>
            <w:noProof/>
            <w:szCs w:val="24"/>
          </w:rPr>
          <w:t>Table 3</w:t>
        </w:r>
        <w:r w:rsidR="0078312E">
          <w:rPr>
            <w:rFonts w:asciiTheme="majorHAnsi" w:hAnsiTheme="majorHAnsi" w:cstheme="majorHAnsi"/>
            <w:noProof/>
            <w:szCs w:val="24"/>
          </w:rPr>
          <w:noBreakHyphen/>
          <w:t>13: [GEO] Worst-case Artificial Space Debris Environment</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_Toc471971573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69</w:t>
        </w:r>
        <w:r w:rsidR="0078312E">
          <w:rPr>
            <w:rFonts w:asciiTheme="majorHAnsi" w:hAnsiTheme="majorHAnsi" w:cstheme="majorHAnsi"/>
            <w:noProof/>
            <w:webHidden/>
            <w:szCs w:val="24"/>
          </w:rPr>
          <w:fldChar w:fldCharType="end"/>
        </w:r>
      </w:hyperlink>
    </w:p>
    <w:p w14:paraId="48B78767" w14:textId="77777777" w:rsidR="00DB15E9" w:rsidRDefault="00BA5284">
      <w:pPr>
        <w:pStyle w:val="TableofFigures"/>
        <w:tabs>
          <w:tab w:val="right" w:leader="dot" w:pos="9350"/>
        </w:tabs>
        <w:rPr>
          <w:rFonts w:asciiTheme="majorHAnsi" w:hAnsiTheme="majorHAnsi" w:cstheme="majorHAnsi"/>
          <w:noProof/>
          <w:szCs w:val="24"/>
        </w:rPr>
      </w:pPr>
      <w:hyperlink w:anchor="_Toc471971574" w:history="1">
        <w:r w:rsidR="0078312E">
          <w:rPr>
            <w:rFonts w:asciiTheme="majorHAnsi" w:hAnsiTheme="majorHAnsi" w:cstheme="majorHAnsi"/>
            <w:noProof/>
            <w:szCs w:val="24"/>
          </w:rPr>
          <w:t>Table 6</w:t>
        </w:r>
        <w:r w:rsidR="0078312E">
          <w:rPr>
            <w:rFonts w:asciiTheme="majorHAnsi" w:hAnsiTheme="majorHAnsi" w:cstheme="majorHAnsi"/>
            <w:noProof/>
            <w:szCs w:val="24"/>
          </w:rPr>
          <w:noBreakHyphen/>
          <w:t>1: Units of Measure</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_Toc471971574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77</w:t>
        </w:r>
        <w:r w:rsidR="0078312E">
          <w:rPr>
            <w:rFonts w:asciiTheme="majorHAnsi" w:hAnsiTheme="majorHAnsi" w:cstheme="majorHAnsi"/>
            <w:noProof/>
            <w:webHidden/>
            <w:szCs w:val="24"/>
          </w:rPr>
          <w:fldChar w:fldCharType="end"/>
        </w:r>
      </w:hyperlink>
    </w:p>
    <w:p w14:paraId="43D267D0" w14:textId="77777777" w:rsidR="00DB15E9" w:rsidRDefault="00BA5284">
      <w:pPr>
        <w:pStyle w:val="TableofFigures"/>
        <w:tabs>
          <w:tab w:val="right" w:leader="dot" w:pos="9350"/>
        </w:tabs>
        <w:rPr>
          <w:rFonts w:asciiTheme="majorHAnsi" w:hAnsiTheme="majorHAnsi" w:cstheme="majorHAnsi"/>
          <w:noProof/>
          <w:szCs w:val="24"/>
        </w:rPr>
      </w:pPr>
      <w:hyperlink w:anchor="_Toc471971575" w:history="1">
        <w:r w:rsidR="0078312E">
          <w:rPr>
            <w:rFonts w:asciiTheme="majorHAnsi" w:hAnsiTheme="majorHAnsi" w:cstheme="majorHAnsi"/>
            <w:noProof/>
            <w:szCs w:val="24"/>
          </w:rPr>
          <w:t>Table 6</w:t>
        </w:r>
        <w:r w:rsidR="0078312E">
          <w:rPr>
            <w:rFonts w:asciiTheme="majorHAnsi" w:hAnsiTheme="majorHAnsi" w:cstheme="majorHAnsi"/>
            <w:noProof/>
            <w:szCs w:val="24"/>
          </w:rPr>
          <w:noBreakHyphen/>
          <w:t>2: Metric Prefixes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_Toc471971575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77</w:t>
        </w:r>
        <w:r w:rsidR="0078312E">
          <w:rPr>
            <w:rFonts w:asciiTheme="majorHAnsi" w:hAnsiTheme="majorHAnsi" w:cstheme="majorHAnsi"/>
            <w:noProof/>
            <w:webHidden/>
            <w:szCs w:val="24"/>
          </w:rPr>
          <w:fldChar w:fldCharType="end"/>
        </w:r>
      </w:hyperlink>
    </w:p>
    <w:p w14:paraId="79E577E4" w14:textId="77777777" w:rsidR="00DB15E9" w:rsidRDefault="00BA5284">
      <w:pPr>
        <w:pStyle w:val="TableofFigures"/>
        <w:tabs>
          <w:tab w:val="right" w:leader="dot" w:pos="9350"/>
        </w:tabs>
        <w:rPr>
          <w:rFonts w:asciiTheme="majorHAnsi" w:hAnsiTheme="majorHAnsi" w:cstheme="majorHAnsi"/>
          <w:noProof/>
          <w:szCs w:val="24"/>
        </w:rPr>
      </w:pPr>
      <w:hyperlink w:anchor="_Toc471971576" w:history="1">
        <w:r w:rsidR="0078312E">
          <w:rPr>
            <w:rFonts w:asciiTheme="majorHAnsi" w:hAnsiTheme="majorHAnsi" w:cstheme="majorHAnsi"/>
            <w:noProof/>
            <w:szCs w:val="24"/>
          </w:rPr>
          <w:t>Table A</w:t>
        </w:r>
        <w:r w:rsidR="0078312E">
          <w:rPr>
            <w:rFonts w:asciiTheme="majorHAnsi" w:hAnsiTheme="majorHAnsi" w:cstheme="majorHAnsi"/>
            <w:noProof/>
            <w:szCs w:val="24"/>
          </w:rPr>
          <w:noBreakHyphen/>
          <w:t>1: Representative Baseline S/C Configuration Thermal Backload</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_Toc471971576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79</w:t>
        </w:r>
        <w:r w:rsidR="0078312E">
          <w:rPr>
            <w:rFonts w:asciiTheme="majorHAnsi" w:hAnsiTheme="majorHAnsi" w:cstheme="majorHAnsi"/>
            <w:noProof/>
            <w:webHidden/>
            <w:szCs w:val="24"/>
          </w:rPr>
          <w:fldChar w:fldCharType="end"/>
        </w:r>
      </w:hyperlink>
    </w:p>
    <w:p w14:paraId="73356428" w14:textId="77777777" w:rsidR="00DB15E9" w:rsidRDefault="00BA5284">
      <w:pPr>
        <w:pStyle w:val="TableofFigures"/>
        <w:tabs>
          <w:tab w:val="right" w:leader="dot" w:pos="9350"/>
        </w:tabs>
        <w:rPr>
          <w:rFonts w:asciiTheme="majorHAnsi" w:hAnsiTheme="majorHAnsi" w:cstheme="majorHAnsi"/>
          <w:noProof/>
          <w:szCs w:val="24"/>
        </w:rPr>
      </w:pPr>
      <w:hyperlink w:anchor="_Toc471971577" w:history="1">
        <w:r w:rsidR="0078312E">
          <w:rPr>
            <w:rFonts w:asciiTheme="majorHAnsi" w:hAnsiTheme="majorHAnsi" w:cstheme="majorHAnsi"/>
            <w:noProof/>
            <w:szCs w:val="24"/>
          </w:rPr>
          <w:t>Table A</w:t>
        </w:r>
        <w:r w:rsidR="0078312E">
          <w:rPr>
            <w:rFonts w:asciiTheme="majorHAnsi" w:hAnsiTheme="majorHAnsi" w:cstheme="majorHAnsi"/>
            <w:noProof/>
            <w:szCs w:val="24"/>
          </w:rPr>
          <w:noBreakHyphen/>
          <w:t>2: Negotiated TEMPO ERD Tests and Corresponding HPIG Sections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_Toc471971577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80</w:t>
        </w:r>
        <w:r w:rsidR="0078312E">
          <w:rPr>
            <w:rFonts w:asciiTheme="majorHAnsi" w:hAnsiTheme="majorHAnsi" w:cstheme="majorHAnsi"/>
            <w:noProof/>
            <w:webHidden/>
            <w:szCs w:val="24"/>
          </w:rPr>
          <w:fldChar w:fldCharType="end"/>
        </w:r>
      </w:hyperlink>
    </w:p>
    <w:p w14:paraId="625035F6" w14:textId="77777777" w:rsidR="00DB15E9" w:rsidRDefault="00BA5284">
      <w:pPr>
        <w:pStyle w:val="TableofFigures"/>
        <w:tabs>
          <w:tab w:val="right" w:leader="dot" w:pos="9350"/>
        </w:tabs>
        <w:rPr>
          <w:rFonts w:asciiTheme="majorHAnsi" w:hAnsiTheme="majorHAnsi" w:cstheme="majorHAnsi"/>
          <w:noProof/>
          <w:szCs w:val="24"/>
        </w:rPr>
      </w:pPr>
      <w:hyperlink w:anchor="_Toc471971578" w:history="1">
        <w:r w:rsidR="0078312E">
          <w:rPr>
            <w:rFonts w:asciiTheme="majorHAnsi" w:hAnsiTheme="majorHAnsi" w:cstheme="majorHAnsi"/>
            <w:noProof/>
            <w:szCs w:val="24"/>
          </w:rPr>
          <w:t>Table B</w:t>
        </w:r>
        <w:r w:rsidR="0078312E">
          <w:rPr>
            <w:rFonts w:asciiTheme="majorHAnsi" w:hAnsiTheme="majorHAnsi" w:cstheme="majorHAnsi"/>
            <w:noProof/>
            <w:szCs w:val="24"/>
          </w:rPr>
          <w:noBreakHyphen/>
          <w:t>1: LEO Instrument Operating Modes Based Upon Mission Phase</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_Toc471971578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86</w:t>
        </w:r>
        <w:r w:rsidR="0078312E">
          <w:rPr>
            <w:rFonts w:asciiTheme="majorHAnsi" w:hAnsiTheme="majorHAnsi" w:cstheme="majorHAnsi"/>
            <w:noProof/>
            <w:webHidden/>
            <w:szCs w:val="24"/>
          </w:rPr>
          <w:fldChar w:fldCharType="end"/>
        </w:r>
      </w:hyperlink>
    </w:p>
    <w:p w14:paraId="3A32F9B5" w14:textId="77777777" w:rsidR="00DB15E9" w:rsidRDefault="00BA5284">
      <w:pPr>
        <w:pStyle w:val="TableofFigures"/>
        <w:tabs>
          <w:tab w:val="right" w:leader="dot" w:pos="9350"/>
        </w:tabs>
        <w:rPr>
          <w:rFonts w:asciiTheme="majorHAnsi" w:hAnsiTheme="majorHAnsi" w:cstheme="majorHAnsi"/>
          <w:noProof/>
          <w:szCs w:val="24"/>
        </w:rPr>
      </w:pPr>
      <w:hyperlink w:anchor="_Toc471971579" w:history="1">
        <w:r w:rsidR="0078312E">
          <w:rPr>
            <w:rFonts w:asciiTheme="majorHAnsi" w:hAnsiTheme="majorHAnsi" w:cstheme="majorHAnsi"/>
            <w:noProof/>
            <w:szCs w:val="24"/>
          </w:rPr>
          <w:t>Table C</w:t>
        </w:r>
        <w:r w:rsidR="0078312E">
          <w:rPr>
            <w:rFonts w:asciiTheme="majorHAnsi" w:hAnsiTheme="majorHAnsi" w:cstheme="majorHAnsi"/>
            <w:noProof/>
            <w:szCs w:val="24"/>
          </w:rPr>
          <w:noBreakHyphen/>
          <w:t>1: Distribution of NICM Instruments Among Science Mission Directorate Divisions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_Toc471971579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90</w:t>
        </w:r>
        <w:r w:rsidR="0078312E">
          <w:rPr>
            <w:rFonts w:asciiTheme="majorHAnsi" w:hAnsiTheme="majorHAnsi" w:cstheme="majorHAnsi"/>
            <w:noProof/>
            <w:webHidden/>
            <w:szCs w:val="24"/>
          </w:rPr>
          <w:fldChar w:fldCharType="end"/>
        </w:r>
      </w:hyperlink>
    </w:p>
    <w:p w14:paraId="50A25857" w14:textId="77777777" w:rsidR="00DB15E9" w:rsidRDefault="00BA5284">
      <w:pPr>
        <w:pStyle w:val="TableofFigures"/>
        <w:tabs>
          <w:tab w:val="right" w:leader="dot" w:pos="9350"/>
        </w:tabs>
        <w:rPr>
          <w:rFonts w:asciiTheme="majorHAnsi" w:hAnsiTheme="majorHAnsi" w:cstheme="majorHAnsi"/>
          <w:noProof/>
          <w:szCs w:val="24"/>
        </w:rPr>
      </w:pPr>
      <w:hyperlink w:anchor="_Toc471971580" w:history="1">
        <w:r w:rsidR="0078312E">
          <w:rPr>
            <w:rFonts w:asciiTheme="majorHAnsi" w:hAnsiTheme="majorHAnsi" w:cstheme="majorHAnsi"/>
            <w:noProof/>
            <w:szCs w:val="24"/>
          </w:rPr>
          <w:t>Table D</w:t>
        </w:r>
        <w:r w:rsidR="0078312E">
          <w:rPr>
            <w:rFonts w:asciiTheme="majorHAnsi" w:hAnsiTheme="majorHAnsi" w:cstheme="majorHAnsi"/>
            <w:noProof/>
            <w:szCs w:val="24"/>
          </w:rPr>
          <w:noBreakHyphen/>
          <w:t>1: Distribution of NICM Instruments Among Science Mission Directorate Divisions</w:t>
        </w:r>
        <w:r w:rsidR="0078312E">
          <w:rPr>
            <w:rFonts w:asciiTheme="majorHAnsi" w:hAnsiTheme="majorHAnsi" w:cstheme="majorHAnsi"/>
            <w:noProof/>
            <w:webHidden/>
            <w:szCs w:val="24"/>
          </w:rPr>
          <w:tab/>
        </w:r>
        <w:r w:rsidR="0078312E">
          <w:rPr>
            <w:rFonts w:asciiTheme="majorHAnsi" w:hAnsiTheme="majorHAnsi" w:cstheme="majorHAnsi"/>
            <w:noProof/>
            <w:webHidden/>
            <w:szCs w:val="24"/>
          </w:rPr>
          <w:fldChar w:fldCharType="begin"/>
        </w:r>
        <w:r w:rsidR="0078312E">
          <w:rPr>
            <w:rFonts w:asciiTheme="majorHAnsi" w:hAnsiTheme="majorHAnsi" w:cstheme="majorHAnsi"/>
            <w:noProof/>
            <w:webHidden/>
            <w:szCs w:val="24"/>
          </w:rPr>
          <w:instrText xml:space="preserve"> PAGEREF _Toc471971580 \h </w:instrText>
        </w:r>
        <w:r w:rsidR="0078312E">
          <w:rPr>
            <w:rFonts w:asciiTheme="majorHAnsi" w:hAnsiTheme="majorHAnsi" w:cstheme="majorHAnsi"/>
            <w:noProof/>
            <w:webHidden/>
            <w:szCs w:val="24"/>
          </w:rPr>
        </w:r>
        <w:r w:rsidR="0078312E">
          <w:rPr>
            <w:rFonts w:asciiTheme="majorHAnsi" w:hAnsiTheme="majorHAnsi" w:cstheme="majorHAnsi"/>
            <w:noProof/>
            <w:webHidden/>
            <w:szCs w:val="24"/>
          </w:rPr>
          <w:fldChar w:fldCharType="separate"/>
        </w:r>
        <w:r w:rsidR="0078312E">
          <w:rPr>
            <w:rFonts w:asciiTheme="majorHAnsi" w:hAnsiTheme="majorHAnsi" w:cstheme="majorHAnsi"/>
            <w:noProof/>
            <w:webHidden/>
            <w:szCs w:val="24"/>
          </w:rPr>
          <w:t>95</w:t>
        </w:r>
        <w:r w:rsidR="0078312E">
          <w:rPr>
            <w:rFonts w:asciiTheme="majorHAnsi" w:hAnsiTheme="majorHAnsi" w:cstheme="majorHAnsi"/>
            <w:noProof/>
            <w:webHidden/>
            <w:szCs w:val="24"/>
          </w:rPr>
          <w:fldChar w:fldCharType="end"/>
        </w:r>
      </w:hyperlink>
    </w:p>
    <w:p w14:paraId="7F23D54C" w14:textId="77777777" w:rsidR="00DB15E9" w:rsidRDefault="0078312E">
      <w:pPr>
        <w:pStyle w:val="TOCNoHeadings"/>
        <w:rPr>
          <w:rFonts w:asciiTheme="majorHAnsi" w:hAnsiTheme="majorHAnsi" w:cstheme="majorHAnsi"/>
          <w:szCs w:val="24"/>
        </w:rPr>
      </w:pPr>
      <w:r>
        <w:rPr>
          <w:rFonts w:asciiTheme="majorHAnsi" w:hAnsiTheme="majorHAnsi" w:cstheme="majorHAnsi"/>
          <w:szCs w:val="24"/>
        </w:rPr>
        <w:fldChar w:fldCharType="end"/>
      </w:r>
    </w:p>
    <w:p w14:paraId="1CBAC0B1" w14:textId="77777777" w:rsidR="00DB15E9" w:rsidRDefault="00DB15E9">
      <w:pPr>
        <w:pStyle w:val="TOCNoHeadings"/>
        <w:rPr>
          <w:rFonts w:asciiTheme="majorHAnsi" w:hAnsiTheme="majorHAnsi" w:cstheme="majorHAnsi"/>
          <w:szCs w:val="24"/>
        </w:rPr>
      </w:pPr>
    </w:p>
    <w:p w14:paraId="437F1859" w14:textId="77777777" w:rsidR="00DB15E9" w:rsidRDefault="0078312E">
      <w:pPr>
        <w:pStyle w:val="ESSPTableCaption"/>
      </w:pPr>
      <w:bookmarkStart w:id="4" w:name="_Toc268548681"/>
      <w:bookmarkStart w:id="5" w:name="_Toc268548879"/>
      <w:bookmarkStart w:id="6" w:name="_Toc268548899"/>
      <w:r>
        <w:t>List of Figures</w:t>
      </w:r>
      <w:bookmarkEnd w:id="4"/>
      <w:bookmarkEnd w:id="5"/>
      <w:bookmarkEnd w:id="6"/>
    </w:p>
    <w:p w14:paraId="7DD5E432" w14:textId="77777777" w:rsidR="00DB15E9" w:rsidRDefault="0078312E">
      <w:pPr>
        <w:pStyle w:val="TOC4"/>
        <w:rPr>
          <w:rFonts w:eastAsiaTheme="minorEastAsia"/>
          <w:noProof/>
        </w:rPr>
      </w:pPr>
      <w:r>
        <w:fldChar w:fldCharType="begin"/>
      </w:r>
      <w:r>
        <w:instrText xml:space="preserve"> TOC \h \z \c "Figure" </w:instrText>
      </w:r>
      <w:r>
        <w:fldChar w:fldCharType="separate"/>
      </w:r>
      <w:hyperlink w:anchor="_Toc471971581" w:history="1">
        <w:r>
          <w:rPr>
            <w:rStyle w:val="Hyperlink"/>
            <w:noProof/>
            <w:u w:val="none"/>
          </w:rPr>
          <w:t>Figure 1</w:t>
        </w:r>
        <w:r>
          <w:rPr>
            <w:rStyle w:val="Hyperlink"/>
            <w:noProof/>
            <w:u w:val="none"/>
          </w:rPr>
          <w:noBreakHyphen/>
          <w:t>1: Hosted Payload Interfaces</w:t>
        </w:r>
        <w:r>
          <w:rPr>
            <w:noProof/>
            <w:webHidden/>
          </w:rPr>
          <w:tab/>
        </w:r>
        <w:r>
          <w:rPr>
            <w:noProof/>
            <w:webHidden/>
          </w:rPr>
          <w:fldChar w:fldCharType="begin"/>
        </w:r>
        <w:r>
          <w:rPr>
            <w:noProof/>
            <w:webHidden/>
          </w:rPr>
          <w:instrText xml:space="preserve"> PAGEREF _Toc471971581 \h </w:instrText>
        </w:r>
        <w:r>
          <w:rPr>
            <w:noProof/>
            <w:webHidden/>
          </w:rPr>
        </w:r>
        <w:r>
          <w:rPr>
            <w:noProof/>
            <w:webHidden/>
          </w:rPr>
          <w:fldChar w:fldCharType="separate"/>
        </w:r>
        <w:r>
          <w:rPr>
            <w:noProof/>
            <w:webHidden/>
          </w:rPr>
          <w:t>4</w:t>
        </w:r>
        <w:r>
          <w:rPr>
            <w:noProof/>
            <w:webHidden/>
          </w:rPr>
          <w:fldChar w:fldCharType="end"/>
        </w:r>
      </w:hyperlink>
    </w:p>
    <w:p w14:paraId="11A05883" w14:textId="77777777" w:rsidR="00DB15E9" w:rsidRDefault="00BA5284">
      <w:pPr>
        <w:pStyle w:val="TOC4"/>
        <w:rPr>
          <w:rFonts w:eastAsiaTheme="minorEastAsia"/>
          <w:noProof/>
        </w:rPr>
      </w:pPr>
      <w:hyperlink w:anchor="_Toc471971582" w:history="1">
        <w:r w:rsidR="0078312E">
          <w:rPr>
            <w:rStyle w:val="Hyperlink"/>
            <w:noProof/>
            <w:u w:val="none"/>
          </w:rPr>
          <w:t>Figure 2</w:t>
        </w:r>
        <w:r w:rsidR="0078312E">
          <w:rPr>
            <w:rStyle w:val="Hyperlink"/>
            <w:noProof/>
            <w:u w:val="none"/>
          </w:rPr>
          <w:noBreakHyphen/>
          <w:t>1: Host Spacecraft-Instrument Electrical Interface</w:t>
        </w:r>
        <w:r w:rsidR="0078312E">
          <w:rPr>
            <w:noProof/>
            <w:webHidden/>
          </w:rPr>
          <w:tab/>
        </w:r>
        <w:r w:rsidR="0078312E">
          <w:rPr>
            <w:noProof/>
            <w:webHidden/>
          </w:rPr>
          <w:fldChar w:fldCharType="begin"/>
        </w:r>
        <w:r w:rsidR="0078312E">
          <w:rPr>
            <w:noProof/>
            <w:webHidden/>
          </w:rPr>
          <w:instrText xml:space="preserve"> PAGEREF _Toc471971582 \h </w:instrText>
        </w:r>
        <w:r w:rsidR="0078312E">
          <w:rPr>
            <w:noProof/>
            <w:webHidden/>
          </w:rPr>
        </w:r>
        <w:r w:rsidR="0078312E">
          <w:rPr>
            <w:noProof/>
            <w:webHidden/>
          </w:rPr>
          <w:fldChar w:fldCharType="separate"/>
        </w:r>
        <w:r w:rsidR="0078312E">
          <w:rPr>
            <w:noProof/>
            <w:webHidden/>
          </w:rPr>
          <w:t>11</w:t>
        </w:r>
        <w:r w:rsidR="0078312E">
          <w:rPr>
            <w:noProof/>
            <w:webHidden/>
          </w:rPr>
          <w:fldChar w:fldCharType="end"/>
        </w:r>
      </w:hyperlink>
    </w:p>
    <w:p w14:paraId="4F70674A" w14:textId="77777777" w:rsidR="00DB15E9" w:rsidRDefault="00BA5284">
      <w:pPr>
        <w:pStyle w:val="TOC4"/>
        <w:rPr>
          <w:rFonts w:eastAsiaTheme="minorEastAsia"/>
          <w:noProof/>
        </w:rPr>
      </w:pPr>
      <w:hyperlink w:anchor="_Toc471971583" w:history="1">
        <w:r w:rsidR="0078312E">
          <w:rPr>
            <w:rStyle w:val="Hyperlink"/>
            <w:noProof/>
            <w:u w:val="none"/>
          </w:rPr>
          <w:t>Figure 2</w:t>
        </w:r>
        <w:r w:rsidR="0078312E">
          <w:rPr>
            <w:rStyle w:val="Hyperlink"/>
            <w:noProof/>
            <w:u w:val="none"/>
          </w:rPr>
          <w:noBreakHyphen/>
          <w:t>2: Worst-case Backloading on Payload Radiator</w:t>
        </w:r>
        <w:r w:rsidR="0078312E">
          <w:rPr>
            <w:noProof/>
            <w:webHidden/>
          </w:rPr>
          <w:tab/>
        </w:r>
        <w:r w:rsidR="0078312E">
          <w:rPr>
            <w:noProof/>
            <w:webHidden/>
          </w:rPr>
          <w:fldChar w:fldCharType="begin"/>
        </w:r>
        <w:r w:rsidR="0078312E">
          <w:rPr>
            <w:noProof/>
            <w:webHidden/>
          </w:rPr>
          <w:instrText xml:space="preserve"> PAGEREF _Toc471971583 \h </w:instrText>
        </w:r>
        <w:r w:rsidR="0078312E">
          <w:rPr>
            <w:noProof/>
            <w:webHidden/>
          </w:rPr>
        </w:r>
        <w:r w:rsidR="0078312E">
          <w:rPr>
            <w:noProof/>
            <w:webHidden/>
          </w:rPr>
          <w:fldChar w:fldCharType="separate"/>
        </w:r>
        <w:r w:rsidR="0078312E">
          <w:rPr>
            <w:noProof/>
            <w:webHidden/>
          </w:rPr>
          <w:t>18</w:t>
        </w:r>
        <w:r w:rsidR="0078312E">
          <w:rPr>
            <w:noProof/>
            <w:webHidden/>
          </w:rPr>
          <w:fldChar w:fldCharType="end"/>
        </w:r>
      </w:hyperlink>
    </w:p>
    <w:p w14:paraId="26376996" w14:textId="77777777" w:rsidR="00DB15E9" w:rsidRDefault="00BA5284">
      <w:pPr>
        <w:pStyle w:val="TOC4"/>
        <w:rPr>
          <w:rFonts w:eastAsiaTheme="minorEastAsia"/>
          <w:noProof/>
        </w:rPr>
      </w:pPr>
      <w:hyperlink w:anchor="_Toc471971584" w:history="1">
        <w:r w:rsidR="0078312E">
          <w:rPr>
            <w:rStyle w:val="Hyperlink"/>
            <w:noProof/>
            <w:u w:val="none"/>
          </w:rPr>
          <w:t>Figure 2</w:t>
        </w:r>
        <w:r w:rsidR="0078312E">
          <w:rPr>
            <w:rStyle w:val="Hyperlink"/>
            <w:noProof/>
            <w:u w:val="none"/>
          </w:rPr>
          <w:noBreakHyphen/>
          <w:t>3: Shipping / Storage Environment</w:t>
        </w:r>
        <w:r w:rsidR="0078312E">
          <w:rPr>
            <w:noProof/>
            <w:webHidden/>
          </w:rPr>
          <w:tab/>
        </w:r>
        <w:r w:rsidR="0078312E">
          <w:rPr>
            <w:noProof/>
            <w:webHidden/>
          </w:rPr>
          <w:fldChar w:fldCharType="begin"/>
        </w:r>
        <w:r w:rsidR="0078312E">
          <w:rPr>
            <w:noProof/>
            <w:webHidden/>
          </w:rPr>
          <w:instrText xml:space="preserve"> PAGEREF _Toc471971584 \h </w:instrText>
        </w:r>
        <w:r w:rsidR="0078312E">
          <w:rPr>
            <w:noProof/>
            <w:webHidden/>
          </w:rPr>
        </w:r>
        <w:r w:rsidR="0078312E">
          <w:rPr>
            <w:noProof/>
            <w:webHidden/>
          </w:rPr>
          <w:fldChar w:fldCharType="separate"/>
        </w:r>
        <w:r w:rsidR="0078312E">
          <w:rPr>
            <w:noProof/>
            <w:webHidden/>
          </w:rPr>
          <w:t>20</w:t>
        </w:r>
        <w:r w:rsidR="0078312E">
          <w:rPr>
            <w:noProof/>
            <w:webHidden/>
          </w:rPr>
          <w:fldChar w:fldCharType="end"/>
        </w:r>
      </w:hyperlink>
    </w:p>
    <w:p w14:paraId="36DA61F4" w14:textId="77777777" w:rsidR="00DB15E9" w:rsidRDefault="00BA5284">
      <w:pPr>
        <w:pStyle w:val="TOC4"/>
        <w:rPr>
          <w:rFonts w:eastAsiaTheme="minorEastAsia"/>
          <w:noProof/>
        </w:rPr>
      </w:pPr>
      <w:hyperlink w:anchor="_Toc471971585" w:history="1">
        <w:r w:rsidR="0078312E">
          <w:rPr>
            <w:rStyle w:val="Hyperlink"/>
            <w:noProof/>
            <w:u w:val="none"/>
          </w:rPr>
          <w:t>Figure 2</w:t>
        </w:r>
        <w:r w:rsidR="0078312E">
          <w:rPr>
            <w:rStyle w:val="Hyperlink"/>
            <w:noProof/>
            <w:u w:val="none"/>
          </w:rPr>
          <w:noBreakHyphen/>
          <w:t>4: Integration and Test Environment</w:t>
        </w:r>
        <w:r w:rsidR="0078312E">
          <w:rPr>
            <w:noProof/>
            <w:webHidden/>
          </w:rPr>
          <w:tab/>
        </w:r>
        <w:r w:rsidR="0078312E">
          <w:rPr>
            <w:noProof/>
            <w:webHidden/>
          </w:rPr>
          <w:fldChar w:fldCharType="begin"/>
        </w:r>
        <w:r w:rsidR="0078312E">
          <w:rPr>
            <w:noProof/>
            <w:webHidden/>
          </w:rPr>
          <w:instrText xml:space="preserve"> PAGEREF _Toc471971585 \h </w:instrText>
        </w:r>
        <w:r w:rsidR="0078312E">
          <w:rPr>
            <w:noProof/>
            <w:webHidden/>
          </w:rPr>
        </w:r>
        <w:r w:rsidR="0078312E">
          <w:rPr>
            <w:noProof/>
            <w:webHidden/>
          </w:rPr>
          <w:fldChar w:fldCharType="separate"/>
        </w:r>
        <w:r w:rsidR="0078312E">
          <w:rPr>
            <w:noProof/>
            <w:webHidden/>
          </w:rPr>
          <w:t>22</w:t>
        </w:r>
        <w:r w:rsidR="0078312E">
          <w:rPr>
            <w:noProof/>
            <w:webHidden/>
          </w:rPr>
          <w:fldChar w:fldCharType="end"/>
        </w:r>
      </w:hyperlink>
    </w:p>
    <w:p w14:paraId="72ECABE6" w14:textId="77777777" w:rsidR="00DB15E9" w:rsidRDefault="00BA5284">
      <w:pPr>
        <w:pStyle w:val="TOC4"/>
        <w:rPr>
          <w:rFonts w:eastAsiaTheme="minorEastAsia"/>
          <w:noProof/>
        </w:rPr>
      </w:pPr>
      <w:hyperlink w:anchor="_Toc471971586" w:history="1">
        <w:r w:rsidR="0078312E">
          <w:rPr>
            <w:rStyle w:val="Hyperlink"/>
            <w:noProof/>
            <w:u w:val="none"/>
          </w:rPr>
          <w:t>Figure 2</w:t>
        </w:r>
        <w:r w:rsidR="0078312E">
          <w:rPr>
            <w:rStyle w:val="Hyperlink"/>
            <w:noProof/>
            <w:u w:val="none"/>
          </w:rPr>
          <w:noBreakHyphen/>
          <w:t>5: Launch Environment</w:t>
        </w:r>
        <w:r w:rsidR="0078312E">
          <w:rPr>
            <w:noProof/>
            <w:webHidden/>
          </w:rPr>
          <w:tab/>
        </w:r>
        <w:r w:rsidR="0078312E">
          <w:rPr>
            <w:noProof/>
            <w:webHidden/>
          </w:rPr>
          <w:fldChar w:fldCharType="begin"/>
        </w:r>
        <w:r w:rsidR="0078312E">
          <w:rPr>
            <w:noProof/>
            <w:webHidden/>
          </w:rPr>
          <w:instrText xml:space="preserve"> PAGEREF _Toc471971586 \h </w:instrText>
        </w:r>
        <w:r w:rsidR="0078312E">
          <w:rPr>
            <w:noProof/>
            <w:webHidden/>
          </w:rPr>
        </w:r>
        <w:r w:rsidR="0078312E">
          <w:rPr>
            <w:noProof/>
            <w:webHidden/>
          </w:rPr>
          <w:fldChar w:fldCharType="separate"/>
        </w:r>
        <w:r w:rsidR="0078312E">
          <w:rPr>
            <w:noProof/>
            <w:webHidden/>
          </w:rPr>
          <w:t>23</w:t>
        </w:r>
        <w:r w:rsidR="0078312E">
          <w:rPr>
            <w:noProof/>
            <w:webHidden/>
          </w:rPr>
          <w:fldChar w:fldCharType="end"/>
        </w:r>
      </w:hyperlink>
    </w:p>
    <w:p w14:paraId="7C8B83B9" w14:textId="77777777" w:rsidR="00DB15E9" w:rsidRDefault="00BA5284">
      <w:pPr>
        <w:pStyle w:val="TOC4"/>
        <w:rPr>
          <w:rFonts w:eastAsiaTheme="minorEastAsia"/>
          <w:noProof/>
        </w:rPr>
      </w:pPr>
      <w:hyperlink w:anchor="_Toc471971587" w:history="1">
        <w:r w:rsidR="0078312E">
          <w:rPr>
            <w:rStyle w:val="Hyperlink"/>
            <w:noProof/>
            <w:u w:val="none"/>
          </w:rPr>
          <w:t>Figure 2</w:t>
        </w:r>
        <w:r w:rsidR="0078312E">
          <w:rPr>
            <w:rStyle w:val="Hyperlink"/>
            <w:noProof/>
            <w:u w:val="none"/>
          </w:rPr>
          <w:noBreakHyphen/>
          <w:t>6: Operational Environment</w:t>
        </w:r>
        <w:r w:rsidR="0078312E">
          <w:rPr>
            <w:noProof/>
            <w:webHidden/>
          </w:rPr>
          <w:tab/>
        </w:r>
        <w:r w:rsidR="0078312E">
          <w:rPr>
            <w:noProof/>
            <w:webHidden/>
          </w:rPr>
          <w:fldChar w:fldCharType="begin"/>
        </w:r>
        <w:r w:rsidR="0078312E">
          <w:rPr>
            <w:noProof/>
            <w:webHidden/>
          </w:rPr>
          <w:instrText xml:space="preserve"> PAGEREF _Toc471971587 \h </w:instrText>
        </w:r>
        <w:r w:rsidR="0078312E">
          <w:rPr>
            <w:noProof/>
            <w:webHidden/>
          </w:rPr>
        </w:r>
        <w:r w:rsidR="0078312E">
          <w:rPr>
            <w:noProof/>
            <w:webHidden/>
          </w:rPr>
          <w:fldChar w:fldCharType="separate"/>
        </w:r>
        <w:r w:rsidR="0078312E">
          <w:rPr>
            <w:noProof/>
            <w:webHidden/>
          </w:rPr>
          <w:t>29</w:t>
        </w:r>
        <w:r w:rsidR="0078312E">
          <w:rPr>
            <w:noProof/>
            <w:webHidden/>
          </w:rPr>
          <w:fldChar w:fldCharType="end"/>
        </w:r>
      </w:hyperlink>
    </w:p>
    <w:p w14:paraId="0F494313" w14:textId="77777777" w:rsidR="00DB15E9" w:rsidRDefault="00BA5284">
      <w:pPr>
        <w:pStyle w:val="TOC4"/>
        <w:rPr>
          <w:rFonts w:eastAsiaTheme="minorEastAsia"/>
          <w:noProof/>
        </w:rPr>
      </w:pPr>
      <w:hyperlink w:anchor="_Toc471971588" w:history="1">
        <w:r w:rsidR="0078312E">
          <w:rPr>
            <w:rStyle w:val="Hyperlink"/>
            <w:noProof/>
            <w:u w:val="none"/>
          </w:rPr>
          <w:t>Figure 2</w:t>
        </w:r>
        <w:r w:rsidR="0078312E">
          <w:rPr>
            <w:rStyle w:val="Hyperlink"/>
            <w:noProof/>
            <w:u w:val="none"/>
          </w:rPr>
          <w:noBreakHyphen/>
          <w:t>7: [LEO] TID versus Shielding Thickness</w:t>
        </w:r>
        <w:r w:rsidR="0078312E">
          <w:rPr>
            <w:noProof/>
            <w:webHidden/>
          </w:rPr>
          <w:tab/>
        </w:r>
        <w:r w:rsidR="0078312E">
          <w:rPr>
            <w:noProof/>
            <w:webHidden/>
          </w:rPr>
          <w:fldChar w:fldCharType="begin"/>
        </w:r>
        <w:r w:rsidR="0078312E">
          <w:rPr>
            <w:noProof/>
            <w:webHidden/>
          </w:rPr>
          <w:instrText xml:space="preserve"> PAGEREF _Toc471971588 \h </w:instrText>
        </w:r>
        <w:r w:rsidR="0078312E">
          <w:rPr>
            <w:noProof/>
            <w:webHidden/>
          </w:rPr>
        </w:r>
        <w:r w:rsidR="0078312E">
          <w:rPr>
            <w:noProof/>
            <w:webHidden/>
          </w:rPr>
          <w:fldChar w:fldCharType="separate"/>
        </w:r>
        <w:r w:rsidR="0078312E">
          <w:rPr>
            <w:noProof/>
            <w:webHidden/>
          </w:rPr>
          <w:t>31</w:t>
        </w:r>
        <w:r w:rsidR="0078312E">
          <w:rPr>
            <w:noProof/>
            <w:webHidden/>
          </w:rPr>
          <w:fldChar w:fldCharType="end"/>
        </w:r>
      </w:hyperlink>
    </w:p>
    <w:p w14:paraId="089EF4EA" w14:textId="77777777" w:rsidR="00DB15E9" w:rsidRDefault="00BA5284">
      <w:pPr>
        <w:pStyle w:val="TOC4"/>
        <w:rPr>
          <w:rFonts w:eastAsiaTheme="minorEastAsia"/>
          <w:noProof/>
        </w:rPr>
      </w:pPr>
      <w:hyperlink w:anchor="_Toc471971589" w:history="1">
        <w:r w:rsidR="0078312E">
          <w:rPr>
            <w:rStyle w:val="Hyperlink"/>
            <w:noProof/>
            <w:u w:val="none"/>
          </w:rPr>
          <w:t>Figure 2</w:t>
        </w:r>
        <w:r w:rsidR="0078312E">
          <w:rPr>
            <w:rStyle w:val="Hyperlink"/>
            <w:noProof/>
            <w:u w:val="none"/>
          </w:rPr>
          <w:noBreakHyphen/>
          <w:t>8: Worst-case Micrometeoroid Environment</w:t>
        </w:r>
        <w:r w:rsidR="0078312E">
          <w:rPr>
            <w:noProof/>
            <w:webHidden/>
          </w:rPr>
          <w:tab/>
        </w:r>
        <w:r w:rsidR="0078312E">
          <w:rPr>
            <w:noProof/>
            <w:webHidden/>
          </w:rPr>
          <w:fldChar w:fldCharType="begin"/>
        </w:r>
        <w:r w:rsidR="0078312E">
          <w:rPr>
            <w:noProof/>
            <w:webHidden/>
          </w:rPr>
          <w:instrText xml:space="preserve"> PAGEREF _Toc471971589 \h </w:instrText>
        </w:r>
        <w:r w:rsidR="0078312E">
          <w:rPr>
            <w:noProof/>
            <w:webHidden/>
          </w:rPr>
        </w:r>
        <w:r w:rsidR="0078312E">
          <w:rPr>
            <w:noProof/>
            <w:webHidden/>
          </w:rPr>
          <w:fldChar w:fldCharType="separate"/>
        </w:r>
        <w:r w:rsidR="0078312E">
          <w:rPr>
            <w:noProof/>
            <w:webHidden/>
          </w:rPr>
          <w:t>34</w:t>
        </w:r>
        <w:r w:rsidR="0078312E">
          <w:rPr>
            <w:noProof/>
            <w:webHidden/>
          </w:rPr>
          <w:fldChar w:fldCharType="end"/>
        </w:r>
      </w:hyperlink>
    </w:p>
    <w:p w14:paraId="552673A6" w14:textId="77777777" w:rsidR="00DB15E9" w:rsidRDefault="00BA5284">
      <w:pPr>
        <w:pStyle w:val="TOC4"/>
        <w:rPr>
          <w:rFonts w:eastAsiaTheme="minorEastAsia"/>
          <w:noProof/>
        </w:rPr>
      </w:pPr>
      <w:hyperlink w:anchor="_Toc471971590" w:history="1">
        <w:r w:rsidR="0078312E">
          <w:rPr>
            <w:rStyle w:val="Hyperlink"/>
            <w:noProof/>
            <w:u w:val="none"/>
          </w:rPr>
          <w:t>Figure 2</w:t>
        </w:r>
        <w:r w:rsidR="0078312E">
          <w:rPr>
            <w:rStyle w:val="Hyperlink"/>
            <w:noProof/>
            <w:u w:val="none"/>
          </w:rPr>
          <w:noBreakHyphen/>
          <w:t>9: [LEO]: Worst-case Artificial Space Debris Environment</w:t>
        </w:r>
        <w:r w:rsidR="0078312E">
          <w:rPr>
            <w:noProof/>
            <w:webHidden/>
          </w:rPr>
          <w:tab/>
        </w:r>
        <w:r w:rsidR="0078312E">
          <w:rPr>
            <w:noProof/>
            <w:webHidden/>
          </w:rPr>
          <w:fldChar w:fldCharType="begin"/>
        </w:r>
        <w:r w:rsidR="0078312E">
          <w:rPr>
            <w:noProof/>
            <w:webHidden/>
          </w:rPr>
          <w:instrText xml:space="preserve"> PAGEREF _Toc471971590 \h </w:instrText>
        </w:r>
        <w:r w:rsidR="0078312E">
          <w:rPr>
            <w:noProof/>
            <w:webHidden/>
          </w:rPr>
        </w:r>
        <w:r w:rsidR="0078312E">
          <w:rPr>
            <w:noProof/>
            <w:webHidden/>
          </w:rPr>
          <w:fldChar w:fldCharType="separate"/>
        </w:r>
        <w:r w:rsidR="0078312E">
          <w:rPr>
            <w:noProof/>
            <w:webHidden/>
          </w:rPr>
          <w:t>35</w:t>
        </w:r>
        <w:r w:rsidR="0078312E">
          <w:rPr>
            <w:noProof/>
            <w:webHidden/>
          </w:rPr>
          <w:fldChar w:fldCharType="end"/>
        </w:r>
      </w:hyperlink>
    </w:p>
    <w:p w14:paraId="3F2F7B73" w14:textId="77777777" w:rsidR="00DB15E9" w:rsidRDefault="00BA5284">
      <w:pPr>
        <w:pStyle w:val="TOC4"/>
        <w:rPr>
          <w:rFonts w:eastAsiaTheme="minorEastAsia"/>
          <w:noProof/>
        </w:rPr>
      </w:pPr>
      <w:hyperlink w:anchor="_Toc471971591" w:history="1">
        <w:r w:rsidR="0078312E">
          <w:rPr>
            <w:rStyle w:val="Hyperlink"/>
            <w:noProof/>
            <w:u w:val="none"/>
          </w:rPr>
          <w:t>Figure 2</w:t>
        </w:r>
        <w:r w:rsidR="0078312E">
          <w:rPr>
            <w:rStyle w:val="Hyperlink"/>
            <w:noProof/>
            <w:u w:val="none"/>
          </w:rPr>
          <w:noBreakHyphen/>
          <w:t>10: Atmospheric Atomic Oxygen density in Low Earth Orbit (Figure 2 from de Rooij 2000)</w:t>
        </w:r>
        <w:r w:rsidR="0078312E">
          <w:rPr>
            <w:noProof/>
            <w:webHidden/>
          </w:rPr>
          <w:tab/>
        </w:r>
        <w:r w:rsidR="0078312E">
          <w:rPr>
            <w:noProof/>
            <w:webHidden/>
          </w:rPr>
          <w:fldChar w:fldCharType="begin"/>
        </w:r>
        <w:r w:rsidR="0078312E">
          <w:rPr>
            <w:noProof/>
            <w:webHidden/>
          </w:rPr>
          <w:instrText xml:space="preserve"> PAGEREF _Toc471971591 \h </w:instrText>
        </w:r>
        <w:r w:rsidR="0078312E">
          <w:rPr>
            <w:noProof/>
            <w:webHidden/>
          </w:rPr>
        </w:r>
        <w:r w:rsidR="0078312E">
          <w:rPr>
            <w:noProof/>
            <w:webHidden/>
          </w:rPr>
          <w:fldChar w:fldCharType="separate"/>
        </w:r>
        <w:r w:rsidR="0078312E">
          <w:rPr>
            <w:noProof/>
            <w:webHidden/>
          </w:rPr>
          <w:t>36</w:t>
        </w:r>
        <w:r w:rsidR="0078312E">
          <w:rPr>
            <w:noProof/>
            <w:webHidden/>
          </w:rPr>
          <w:fldChar w:fldCharType="end"/>
        </w:r>
      </w:hyperlink>
    </w:p>
    <w:p w14:paraId="1B9FC3F2" w14:textId="77777777" w:rsidR="00DB15E9" w:rsidRDefault="00BA5284">
      <w:pPr>
        <w:pStyle w:val="TOC4"/>
        <w:rPr>
          <w:rFonts w:eastAsiaTheme="minorEastAsia"/>
          <w:noProof/>
        </w:rPr>
      </w:pPr>
      <w:hyperlink w:anchor="_Toc471971592" w:history="1">
        <w:r w:rsidR="0078312E">
          <w:rPr>
            <w:rStyle w:val="Hyperlink"/>
            <w:noProof/>
            <w:u w:val="none"/>
          </w:rPr>
          <w:t>Figure 3</w:t>
        </w:r>
        <w:r w:rsidR="0078312E">
          <w:rPr>
            <w:rStyle w:val="Hyperlink"/>
            <w:noProof/>
            <w:u w:val="none"/>
          </w:rPr>
          <w:noBreakHyphen/>
          <w:t>1: Host Spacecraft-Instrument Electrical Interface (Depicted with the optional Instrument side redundant Power Bus B interface)</w:t>
        </w:r>
        <w:r w:rsidR="0078312E">
          <w:rPr>
            <w:noProof/>
            <w:webHidden/>
          </w:rPr>
          <w:tab/>
        </w:r>
        <w:r w:rsidR="0078312E">
          <w:rPr>
            <w:noProof/>
            <w:webHidden/>
          </w:rPr>
          <w:fldChar w:fldCharType="begin"/>
        </w:r>
        <w:r w:rsidR="0078312E">
          <w:rPr>
            <w:noProof/>
            <w:webHidden/>
          </w:rPr>
          <w:instrText xml:space="preserve"> PAGEREF _Toc471971592 \h </w:instrText>
        </w:r>
        <w:r w:rsidR="0078312E">
          <w:rPr>
            <w:noProof/>
            <w:webHidden/>
          </w:rPr>
        </w:r>
        <w:r w:rsidR="0078312E">
          <w:rPr>
            <w:noProof/>
            <w:webHidden/>
          </w:rPr>
          <w:fldChar w:fldCharType="separate"/>
        </w:r>
        <w:r w:rsidR="0078312E">
          <w:rPr>
            <w:noProof/>
            <w:webHidden/>
          </w:rPr>
          <w:t>42</w:t>
        </w:r>
        <w:r w:rsidR="0078312E">
          <w:rPr>
            <w:noProof/>
            <w:webHidden/>
          </w:rPr>
          <w:fldChar w:fldCharType="end"/>
        </w:r>
      </w:hyperlink>
    </w:p>
    <w:p w14:paraId="5B2CD43C" w14:textId="77777777" w:rsidR="00DB15E9" w:rsidRDefault="00BA5284">
      <w:pPr>
        <w:pStyle w:val="TOC4"/>
        <w:rPr>
          <w:rFonts w:eastAsiaTheme="minorEastAsia"/>
          <w:noProof/>
        </w:rPr>
      </w:pPr>
      <w:hyperlink w:anchor="_Toc471971593" w:history="1">
        <w:r w:rsidR="0078312E">
          <w:rPr>
            <w:rStyle w:val="Hyperlink"/>
            <w:noProof/>
            <w:u w:val="none"/>
          </w:rPr>
          <w:t>Figure 3</w:t>
        </w:r>
        <w:r w:rsidR="0078312E">
          <w:rPr>
            <w:rStyle w:val="Hyperlink"/>
            <w:noProof/>
            <w:u w:val="none"/>
          </w:rPr>
          <w:noBreakHyphen/>
          <w:t>2: Worst-case Backloading on Payload Radiator</w:t>
        </w:r>
        <w:r w:rsidR="0078312E">
          <w:rPr>
            <w:noProof/>
            <w:webHidden/>
          </w:rPr>
          <w:tab/>
        </w:r>
        <w:r w:rsidR="0078312E">
          <w:rPr>
            <w:noProof/>
            <w:webHidden/>
          </w:rPr>
          <w:fldChar w:fldCharType="begin"/>
        </w:r>
        <w:r w:rsidR="0078312E">
          <w:rPr>
            <w:noProof/>
            <w:webHidden/>
          </w:rPr>
          <w:instrText xml:space="preserve"> PAGEREF _Toc471971593 \h </w:instrText>
        </w:r>
        <w:r w:rsidR="0078312E">
          <w:rPr>
            <w:noProof/>
            <w:webHidden/>
          </w:rPr>
        </w:r>
        <w:r w:rsidR="0078312E">
          <w:rPr>
            <w:noProof/>
            <w:webHidden/>
          </w:rPr>
          <w:fldChar w:fldCharType="separate"/>
        </w:r>
        <w:r w:rsidR="0078312E">
          <w:rPr>
            <w:noProof/>
            <w:webHidden/>
          </w:rPr>
          <w:t>51</w:t>
        </w:r>
        <w:r w:rsidR="0078312E">
          <w:rPr>
            <w:noProof/>
            <w:webHidden/>
          </w:rPr>
          <w:fldChar w:fldCharType="end"/>
        </w:r>
      </w:hyperlink>
    </w:p>
    <w:p w14:paraId="61D6D9E9" w14:textId="77777777" w:rsidR="00DB15E9" w:rsidRDefault="00BA5284">
      <w:pPr>
        <w:pStyle w:val="TOC4"/>
        <w:rPr>
          <w:rFonts w:eastAsiaTheme="minorEastAsia"/>
          <w:noProof/>
        </w:rPr>
      </w:pPr>
      <w:hyperlink w:anchor="_Toc471971594" w:history="1">
        <w:r w:rsidR="0078312E">
          <w:rPr>
            <w:rStyle w:val="Hyperlink"/>
            <w:noProof/>
            <w:u w:val="none"/>
          </w:rPr>
          <w:t>Figure 3</w:t>
        </w:r>
        <w:r w:rsidR="0078312E">
          <w:rPr>
            <w:rStyle w:val="Hyperlink"/>
            <w:noProof/>
            <w:u w:val="none"/>
          </w:rPr>
          <w:noBreakHyphen/>
          <w:t>3: Shipping / Storage Environment</w:t>
        </w:r>
        <w:r w:rsidR="0078312E">
          <w:rPr>
            <w:noProof/>
            <w:webHidden/>
          </w:rPr>
          <w:tab/>
        </w:r>
        <w:r w:rsidR="0078312E">
          <w:rPr>
            <w:noProof/>
            <w:webHidden/>
          </w:rPr>
          <w:fldChar w:fldCharType="begin"/>
        </w:r>
        <w:r w:rsidR="0078312E">
          <w:rPr>
            <w:noProof/>
            <w:webHidden/>
          </w:rPr>
          <w:instrText xml:space="preserve"> PAGEREF _Toc471971594 \h </w:instrText>
        </w:r>
        <w:r w:rsidR="0078312E">
          <w:rPr>
            <w:noProof/>
            <w:webHidden/>
          </w:rPr>
        </w:r>
        <w:r w:rsidR="0078312E">
          <w:rPr>
            <w:noProof/>
            <w:webHidden/>
          </w:rPr>
          <w:fldChar w:fldCharType="separate"/>
        </w:r>
        <w:r w:rsidR="0078312E">
          <w:rPr>
            <w:noProof/>
            <w:webHidden/>
          </w:rPr>
          <w:t>53</w:t>
        </w:r>
        <w:r w:rsidR="0078312E">
          <w:rPr>
            <w:noProof/>
            <w:webHidden/>
          </w:rPr>
          <w:fldChar w:fldCharType="end"/>
        </w:r>
      </w:hyperlink>
    </w:p>
    <w:p w14:paraId="0A72B0DD" w14:textId="77777777" w:rsidR="00DB15E9" w:rsidRDefault="00BA5284">
      <w:pPr>
        <w:pStyle w:val="TOC4"/>
        <w:rPr>
          <w:rFonts w:eastAsiaTheme="minorEastAsia"/>
          <w:noProof/>
        </w:rPr>
      </w:pPr>
      <w:hyperlink w:anchor="_Toc471971595" w:history="1">
        <w:r w:rsidR="0078312E">
          <w:rPr>
            <w:rStyle w:val="Hyperlink"/>
            <w:noProof/>
            <w:u w:val="none"/>
          </w:rPr>
          <w:t>Figure 3</w:t>
        </w:r>
        <w:r w:rsidR="0078312E">
          <w:rPr>
            <w:rStyle w:val="Hyperlink"/>
            <w:noProof/>
            <w:u w:val="none"/>
          </w:rPr>
          <w:noBreakHyphen/>
          <w:t>4: Integration and Test Environment</w:t>
        </w:r>
        <w:r w:rsidR="0078312E">
          <w:rPr>
            <w:noProof/>
            <w:webHidden/>
          </w:rPr>
          <w:tab/>
        </w:r>
        <w:r w:rsidR="0078312E">
          <w:rPr>
            <w:noProof/>
            <w:webHidden/>
          </w:rPr>
          <w:fldChar w:fldCharType="begin"/>
        </w:r>
        <w:r w:rsidR="0078312E">
          <w:rPr>
            <w:noProof/>
            <w:webHidden/>
          </w:rPr>
          <w:instrText xml:space="preserve"> PAGEREF _Toc471971595 \h </w:instrText>
        </w:r>
        <w:r w:rsidR="0078312E">
          <w:rPr>
            <w:noProof/>
            <w:webHidden/>
          </w:rPr>
        </w:r>
        <w:r w:rsidR="0078312E">
          <w:rPr>
            <w:noProof/>
            <w:webHidden/>
          </w:rPr>
          <w:fldChar w:fldCharType="separate"/>
        </w:r>
        <w:r w:rsidR="0078312E">
          <w:rPr>
            <w:noProof/>
            <w:webHidden/>
          </w:rPr>
          <w:t>55</w:t>
        </w:r>
        <w:r w:rsidR="0078312E">
          <w:rPr>
            <w:noProof/>
            <w:webHidden/>
          </w:rPr>
          <w:fldChar w:fldCharType="end"/>
        </w:r>
      </w:hyperlink>
    </w:p>
    <w:p w14:paraId="6CF7D35E" w14:textId="77777777" w:rsidR="00DB15E9" w:rsidRDefault="00BA5284">
      <w:pPr>
        <w:pStyle w:val="TOC4"/>
        <w:rPr>
          <w:rFonts w:eastAsiaTheme="minorEastAsia"/>
          <w:noProof/>
        </w:rPr>
      </w:pPr>
      <w:hyperlink w:anchor="_Toc471971596" w:history="1">
        <w:r w:rsidR="0078312E">
          <w:rPr>
            <w:rStyle w:val="Hyperlink"/>
            <w:noProof/>
            <w:u w:val="none"/>
          </w:rPr>
          <w:t>Figure 3</w:t>
        </w:r>
        <w:r w:rsidR="0078312E">
          <w:rPr>
            <w:rStyle w:val="Hyperlink"/>
            <w:noProof/>
            <w:u w:val="none"/>
          </w:rPr>
          <w:noBreakHyphen/>
          <w:t>5: Launch Environment</w:t>
        </w:r>
        <w:r w:rsidR="0078312E">
          <w:rPr>
            <w:noProof/>
            <w:webHidden/>
          </w:rPr>
          <w:tab/>
        </w:r>
        <w:r w:rsidR="0078312E">
          <w:rPr>
            <w:noProof/>
            <w:webHidden/>
          </w:rPr>
          <w:fldChar w:fldCharType="begin"/>
        </w:r>
        <w:r w:rsidR="0078312E">
          <w:rPr>
            <w:noProof/>
            <w:webHidden/>
          </w:rPr>
          <w:instrText xml:space="preserve"> PAGEREF _Toc471971596 \h </w:instrText>
        </w:r>
        <w:r w:rsidR="0078312E">
          <w:rPr>
            <w:noProof/>
            <w:webHidden/>
          </w:rPr>
        </w:r>
        <w:r w:rsidR="0078312E">
          <w:rPr>
            <w:noProof/>
            <w:webHidden/>
          </w:rPr>
          <w:fldChar w:fldCharType="separate"/>
        </w:r>
        <w:r w:rsidR="0078312E">
          <w:rPr>
            <w:noProof/>
            <w:webHidden/>
          </w:rPr>
          <w:t>56</w:t>
        </w:r>
        <w:r w:rsidR="0078312E">
          <w:rPr>
            <w:noProof/>
            <w:webHidden/>
          </w:rPr>
          <w:fldChar w:fldCharType="end"/>
        </w:r>
      </w:hyperlink>
    </w:p>
    <w:p w14:paraId="7A74A91E" w14:textId="77777777" w:rsidR="00DB15E9" w:rsidRDefault="00BA5284">
      <w:pPr>
        <w:pStyle w:val="TOC4"/>
        <w:rPr>
          <w:rFonts w:eastAsiaTheme="minorEastAsia"/>
          <w:noProof/>
        </w:rPr>
      </w:pPr>
      <w:hyperlink w:anchor="_Toc471971597" w:history="1">
        <w:r w:rsidR="0078312E">
          <w:rPr>
            <w:rStyle w:val="Hyperlink"/>
            <w:noProof/>
            <w:u w:val="none"/>
          </w:rPr>
          <w:t>Figure 3</w:t>
        </w:r>
        <w:r w:rsidR="0078312E">
          <w:rPr>
            <w:rStyle w:val="Hyperlink"/>
            <w:noProof/>
            <w:u w:val="none"/>
          </w:rPr>
          <w:noBreakHyphen/>
          <w:t>6: Operational Environment</w:t>
        </w:r>
        <w:r w:rsidR="0078312E">
          <w:rPr>
            <w:noProof/>
            <w:webHidden/>
          </w:rPr>
          <w:tab/>
        </w:r>
        <w:r w:rsidR="0078312E">
          <w:rPr>
            <w:noProof/>
            <w:webHidden/>
          </w:rPr>
          <w:fldChar w:fldCharType="begin"/>
        </w:r>
        <w:r w:rsidR="0078312E">
          <w:rPr>
            <w:noProof/>
            <w:webHidden/>
          </w:rPr>
          <w:instrText xml:space="preserve"> PAGEREF _Toc471971597 \h </w:instrText>
        </w:r>
        <w:r w:rsidR="0078312E">
          <w:rPr>
            <w:noProof/>
            <w:webHidden/>
          </w:rPr>
        </w:r>
        <w:r w:rsidR="0078312E">
          <w:rPr>
            <w:noProof/>
            <w:webHidden/>
          </w:rPr>
          <w:fldChar w:fldCharType="separate"/>
        </w:r>
        <w:r w:rsidR="0078312E">
          <w:rPr>
            <w:noProof/>
            <w:webHidden/>
          </w:rPr>
          <w:t>62</w:t>
        </w:r>
        <w:r w:rsidR="0078312E">
          <w:rPr>
            <w:noProof/>
            <w:webHidden/>
          </w:rPr>
          <w:fldChar w:fldCharType="end"/>
        </w:r>
      </w:hyperlink>
    </w:p>
    <w:p w14:paraId="6888DA5C" w14:textId="77777777" w:rsidR="00DB15E9" w:rsidRDefault="00BA5284">
      <w:pPr>
        <w:pStyle w:val="TOC4"/>
        <w:rPr>
          <w:rFonts w:eastAsiaTheme="minorEastAsia"/>
          <w:noProof/>
        </w:rPr>
      </w:pPr>
      <w:hyperlink w:anchor="_Toc471971598" w:history="1">
        <w:r w:rsidR="0078312E">
          <w:rPr>
            <w:rStyle w:val="Hyperlink"/>
            <w:noProof/>
            <w:u w:val="none"/>
          </w:rPr>
          <w:t>Figure 3</w:t>
        </w:r>
        <w:r w:rsidR="0078312E">
          <w:rPr>
            <w:rStyle w:val="Hyperlink"/>
            <w:noProof/>
            <w:u w:val="none"/>
          </w:rPr>
          <w:noBreakHyphen/>
          <w:t>7: Worst-case Micrometeoroid Environment</w:t>
        </w:r>
        <w:r w:rsidR="0078312E">
          <w:rPr>
            <w:noProof/>
            <w:webHidden/>
          </w:rPr>
          <w:tab/>
        </w:r>
        <w:r w:rsidR="0078312E">
          <w:rPr>
            <w:noProof/>
            <w:webHidden/>
          </w:rPr>
          <w:fldChar w:fldCharType="begin"/>
        </w:r>
        <w:r w:rsidR="0078312E">
          <w:rPr>
            <w:noProof/>
            <w:webHidden/>
          </w:rPr>
          <w:instrText xml:space="preserve"> PAGEREF _Toc471971598 \h </w:instrText>
        </w:r>
        <w:r w:rsidR="0078312E">
          <w:rPr>
            <w:noProof/>
            <w:webHidden/>
          </w:rPr>
        </w:r>
        <w:r w:rsidR="0078312E">
          <w:rPr>
            <w:noProof/>
            <w:webHidden/>
          </w:rPr>
          <w:fldChar w:fldCharType="separate"/>
        </w:r>
        <w:r w:rsidR="0078312E">
          <w:rPr>
            <w:noProof/>
            <w:webHidden/>
          </w:rPr>
          <w:t>68</w:t>
        </w:r>
        <w:r w:rsidR="0078312E">
          <w:rPr>
            <w:noProof/>
            <w:webHidden/>
          </w:rPr>
          <w:fldChar w:fldCharType="end"/>
        </w:r>
      </w:hyperlink>
    </w:p>
    <w:p w14:paraId="652DDC01" w14:textId="77777777" w:rsidR="00DB15E9" w:rsidRDefault="00BA5284">
      <w:pPr>
        <w:pStyle w:val="TOC4"/>
        <w:rPr>
          <w:rFonts w:eastAsiaTheme="minorEastAsia"/>
          <w:noProof/>
        </w:rPr>
      </w:pPr>
      <w:hyperlink w:anchor="_Toc471971599" w:history="1">
        <w:r w:rsidR="0078312E">
          <w:rPr>
            <w:rStyle w:val="Hyperlink"/>
            <w:noProof/>
            <w:u w:val="none"/>
          </w:rPr>
          <w:t>Figure 3</w:t>
        </w:r>
        <w:r w:rsidR="0078312E">
          <w:rPr>
            <w:rStyle w:val="Hyperlink"/>
            <w:noProof/>
            <w:u w:val="none"/>
          </w:rPr>
          <w:noBreakHyphen/>
          <w:t>8: [GEO] Worst-case Artificial Space Debris Environment</w:t>
        </w:r>
        <w:r w:rsidR="0078312E">
          <w:rPr>
            <w:noProof/>
            <w:webHidden/>
          </w:rPr>
          <w:tab/>
        </w:r>
        <w:r w:rsidR="0078312E">
          <w:rPr>
            <w:noProof/>
            <w:webHidden/>
          </w:rPr>
          <w:fldChar w:fldCharType="begin"/>
        </w:r>
        <w:r w:rsidR="0078312E">
          <w:rPr>
            <w:noProof/>
            <w:webHidden/>
          </w:rPr>
          <w:instrText xml:space="preserve"> PAGEREF _Toc471971599 \h </w:instrText>
        </w:r>
        <w:r w:rsidR="0078312E">
          <w:rPr>
            <w:noProof/>
            <w:webHidden/>
          </w:rPr>
        </w:r>
        <w:r w:rsidR="0078312E">
          <w:rPr>
            <w:noProof/>
            <w:webHidden/>
          </w:rPr>
          <w:fldChar w:fldCharType="separate"/>
        </w:r>
        <w:r w:rsidR="0078312E">
          <w:rPr>
            <w:noProof/>
            <w:webHidden/>
          </w:rPr>
          <w:t>69</w:t>
        </w:r>
        <w:r w:rsidR="0078312E">
          <w:rPr>
            <w:noProof/>
            <w:webHidden/>
          </w:rPr>
          <w:fldChar w:fldCharType="end"/>
        </w:r>
      </w:hyperlink>
    </w:p>
    <w:p w14:paraId="2B5DF160" w14:textId="77777777" w:rsidR="00DB15E9" w:rsidRDefault="00BA5284">
      <w:pPr>
        <w:pStyle w:val="TOC4"/>
        <w:rPr>
          <w:rFonts w:eastAsiaTheme="minorEastAsia"/>
          <w:noProof/>
        </w:rPr>
      </w:pPr>
      <w:hyperlink w:anchor="_Toc471971600" w:history="1">
        <w:r w:rsidR="0078312E">
          <w:rPr>
            <w:rStyle w:val="Hyperlink"/>
            <w:noProof/>
            <w:u w:val="none"/>
          </w:rPr>
          <w:t>Figure C</w:t>
        </w:r>
        <w:r w:rsidR="0078312E">
          <w:rPr>
            <w:rStyle w:val="Hyperlink"/>
            <w:noProof/>
            <w:u w:val="none"/>
          </w:rPr>
          <w:noBreakHyphen/>
          <w:t>1: Instrument Mass vs. Development Cost</w:t>
        </w:r>
        <w:r w:rsidR="0078312E">
          <w:rPr>
            <w:noProof/>
            <w:webHidden/>
          </w:rPr>
          <w:tab/>
        </w:r>
        <w:r w:rsidR="0078312E">
          <w:rPr>
            <w:noProof/>
            <w:webHidden/>
          </w:rPr>
          <w:fldChar w:fldCharType="begin"/>
        </w:r>
        <w:r w:rsidR="0078312E">
          <w:rPr>
            <w:noProof/>
            <w:webHidden/>
          </w:rPr>
          <w:instrText xml:space="preserve"> PAGEREF _Toc471971600 \h </w:instrText>
        </w:r>
        <w:r w:rsidR="0078312E">
          <w:rPr>
            <w:noProof/>
            <w:webHidden/>
          </w:rPr>
        </w:r>
        <w:r w:rsidR="0078312E">
          <w:rPr>
            <w:noProof/>
            <w:webHidden/>
          </w:rPr>
          <w:fldChar w:fldCharType="separate"/>
        </w:r>
        <w:r w:rsidR="0078312E">
          <w:rPr>
            <w:noProof/>
            <w:webHidden/>
          </w:rPr>
          <w:t>91</w:t>
        </w:r>
        <w:r w:rsidR="0078312E">
          <w:rPr>
            <w:noProof/>
            <w:webHidden/>
          </w:rPr>
          <w:fldChar w:fldCharType="end"/>
        </w:r>
      </w:hyperlink>
    </w:p>
    <w:p w14:paraId="4E01AFA3" w14:textId="77777777" w:rsidR="00DB15E9" w:rsidRDefault="00BA5284">
      <w:pPr>
        <w:pStyle w:val="TOC4"/>
        <w:rPr>
          <w:rFonts w:eastAsiaTheme="minorEastAsia"/>
          <w:noProof/>
        </w:rPr>
      </w:pPr>
      <w:hyperlink w:anchor="_Toc471971601" w:history="1">
        <w:r w:rsidR="0078312E">
          <w:rPr>
            <w:rStyle w:val="Hyperlink"/>
            <w:noProof/>
            <w:u w:val="none"/>
          </w:rPr>
          <w:t>Figure C</w:t>
        </w:r>
        <w:r w:rsidR="0078312E">
          <w:rPr>
            <w:rStyle w:val="Hyperlink"/>
            <w:noProof/>
            <w:u w:val="none"/>
          </w:rPr>
          <w:noBreakHyphen/>
          <w:t>2: Power as a Function of Mass</w:t>
        </w:r>
        <w:r w:rsidR="0078312E">
          <w:rPr>
            <w:noProof/>
            <w:webHidden/>
          </w:rPr>
          <w:tab/>
        </w:r>
        <w:r w:rsidR="0078312E">
          <w:rPr>
            <w:noProof/>
            <w:webHidden/>
          </w:rPr>
          <w:fldChar w:fldCharType="begin"/>
        </w:r>
        <w:r w:rsidR="0078312E">
          <w:rPr>
            <w:noProof/>
            <w:webHidden/>
          </w:rPr>
          <w:instrText xml:space="preserve"> PAGEREF _Toc471971601 \h </w:instrText>
        </w:r>
        <w:r w:rsidR="0078312E">
          <w:rPr>
            <w:noProof/>
            <w:webHidden/>
          </w:rPr>
        </w:r>
        <w:r w:rsidR="0078312E">
          <w:rPr>
            <w:noProof/>
            <w:webHidden/>
          </w:rPr>
          <w:fldChar w:fldCharType="separate"/>
        </w:r>
        <w:r w:rsidR="0078312E">
          <w:rPr>
            <w:noProof/>
            <w:webHidden/>
          </w:rPr>
          <w:t>92</w:t>
        </w:r>
        <w:r w:rsidR="0078312E">
          <w:rPr>
            <w:noProof/>
            <w:webHidden/>
          </w:rPr>
          <w:fldChar w:fldCharType="end"/>
        </w:r>
      </w:hyperlink>
    </w:p>
    <w:p w14:paraId="31BBF029" w14:textId="77777777" w:rsidR="00DB15E9" w:rsidRDefault="00BA5284">
      <w:pPr>
        <w:pStyle w:val="TOC4"/>
        <w:rPr>
          <w:rFonts w:eastAsiaTheme="minorEastAsia"/>
          <w:noProof/>
        </w:rPr>
      </w:pPr>
      <w:hyperlink w:anchor="_Toc471971602" w:history="1">
        <w:r w:rsidR="0078312E">
          <w:rPr>
            <w:rStyle w:val="Hyperlink"/>
            <w:noProof/>
            <w:u w:val="none"/>
          </w:rPr>
          <w:t>Figure C</w:t>
        </w:r>
        <w:r w:rsidR="0078312E">
          <w:rPr>
            <w:rStyle w:val="Hyperlink"/>
            <w:noProof/>
            <w:u w:val="none"/>
          </w:rPr>
          <w:noBreakHyphen/>
          <w:t>3: Trend of Mean Instrument Data Rates</w:t>
        </w:r>
        <w:r w:rsidR="0078312E">
          <w:rPr>
            <w:noProof/>
            <w:webHidden/>
          </w:rPr>
          <w:tab/>
        </w:r>
        <w:r w:rsidR="0078312E">
          <w:rPr>
            <w:noProof/>
            <w:webHidden/>
          </w:rPr>
          <w:fldChar w:fldCharType="begin"/>
        </w:r>
        <w:r w:rsidR="0078312E">
          <w:rPr>
            <w:noProof/>
            <w:webHidden/>
          </w:rPr>
          <w:instrText xml:space="preserve"> PAGEREF _Toc471971602 \h </w:instrText>
        </w:r>
        <w:r w:rsidR="0078312E">
          <w:rPr>
            <w:noProof/>
            <w:webHidden/>
          </w:rPr>
        </w:r>
        <w:r w:rsidR="0078312E">
          <w:rPr>
            <w:noProof/>
            <w:webHidden/>
          </w:rPr>
          <w:fldChar w:fldCharType="separate"/>
        </w:r>
        <w:r w:rsidR="0078312E">
          <w:rPr>
            <w:noProof/>
            <w:webHidden/>
          </w:rPr>
          <w:t>93</w:t>
        </w:r>
        <w:r w:rsidR="0078312E">
          <w:rPr>
            <w:noProof/>
            <w:webHidden/>
          </w:rPr>
          <w:fldChar w:fldCharType="end"/>
        </w:r>
      </w:hyperlink>
    </w:p>
    <w:p w14:paraId="11F9169C" w14:textId="77777777" w:rsidR="00DB15E9" w:rsidRDefault="0078312E">
      <w:pPr>
        <w:pStyle w:val="TOC4"/>
        <w:rPr>
          <w:rFonts w:eastAsiaTheme="minorEastAsia"/>
          <w:noProof/>
        </w:rPr>
      </w:pPr>
      <w:r>
        <w:fldChar w:fldCharType="end"/>
      </w:r>
      <w:r>
        <w:rPr>
          <w:rStyle w:val="Hyperlink"/>
          <w:u w:val="none"/>
        </w:rPr>
        <w:fldChar w:fldCharType="begin"/>
      </w:r>
      <w:r>
        <w:rPr>
          <w:rStyle w:val="Hyperlink"/>
          <w:u w:val="none"/>
        </w:rPr>
        <w:instrText xml:space="preserve"> TOC \h \z \c "Figure A-" </w:instrText>
      </w:r>
      <w:r>
        <w:rPr>
          <w:rStyle w:val="Hyperlink"/>
          <w:u w:val="none"/>
        </w:rPr>
        <w:fldChar w:fldCharType="separate"/>
      </w:r>
      <w:hyperlink w:anchor="_Toc471911392" w:history="1">
        <w:r>
          <w:rPr>
            <w:rStyle w:val="Hyperlink"/>
            <w:noProof/>
            <w:u w:val="none"/>
          </w:rPr>
          <w:t>Figure A-1: Baseline S/C configurations cannot satisfy 25 W/m2 backload limit</w:t>
        </w:r>
        <w:r>
          <w:rPr>
            <w:noProof/>
            <w:webHidden/>
          </w:rPr>
          <w:tab/>
        </w:r>
        <w:r>
          <w:rPr>
            <w:noProof/>
            <w:webHidden/>
          </w:rPr>
          <w:fldChar w:fldCharType="begin"/>
        </w:r>
        <w:r>
          <w:rPr>
            <w:noProof/>
            <w:webHidden/>
          </w:rPr>
          <w:instrText xml:space="preserve"> PAGEREF _Toc471911392 \h </w:instrText>
        </w:r>
        <w:r>
          <w:rPr>
            <w:noProof/>
            <w:webHidden/>
          </w:rPr>
        </w:r>
        <w:r>
          <w:rPr>
            <w:noProof/>
            <w:webHidden/>
          </w:rPr>
          <w:fldChar w:fldCharType="separate"/>
        </w:r>
        <w:r>
          <w:rPr>
            <w:noProof/>
            <w:webHidden/>
          </w:rPr>
          <w:t>79</w:t>
        </w:r>
        <w:r>
          <w:rPr>
            <w:noProof/>
            <w:webHidden/>
          </w:rPr>
          <w:fldChar w:fldCharType="end"/>
        </w:r>
      </w:hyperlink>
    </w:p>
    <w:p w14:paraId="1BE51D9D" w14:textId="77777777" w:rsidR="00DB15E9" w:rsidRDefault="00BA5284">
      <w:pPr>
        <w:pStyle w:val="TOC4"/>
        <w:rPr>
          <w:rStyle w:val="Hyperlink"/>
          <w:noProof/>
          <w:u w:val="none"/>
        </w:rPr>
      </w:pPr>
      <w:hyperlink w:anchor="_Toc471911393" w:history="1">
        <w:r w:rsidR="0078312E">
          <w:rPr>
            <w:rStyle w:val="Hyperlink"/>
            <w:noProof/>
            <w:u w:val="none"/>
          </w:rPr>
          <w:t>Figure A-2: Random Vibration Testing Level</w:t>
        </w:r>
        <w:r w:rsidR="0078312E">
          <w:rPr>
            <w:noProof/>
            <w:webHidden/>
          </w:rPr>
          <w:tab/>
        </w:r>
        <w:r w:rsidR="0078312E">
          <w:rPr>
            <w:noProof/>
            <w:webHidden/>
          </w:rPr>
          <w:fldChar w:fldCharType="begin"/>
        </w:r>
        <w:r w:rsidR="0078312E">
          <w:rPr>
            <w:noProof/>
            <w:webHidden/>
          </w:rPr>
          <w:instrText xml:space="preserve"> PAGEREF _Toc471911393 \h </w:instrText>
        </w:r>
        <w:r w:rsidR="0078312E">
          <w:rPr>
            <w:noProof/>
            <w:webHidden/>
          </w:rPr>
        </w:r>
        <w:r w:rsidR="0078312E">
          <w:rPr>
            <w:noProof/>
            <w:webHidden/>
          </w:rPr>
          <w:fldChar w:fldCharType="separate"/>
        </w:r>
        <w:r w:rsidR="0078312E">
          <w:rPr>
            <w:noProof/>
            <w:webHidden/>
          </w:rPr>
          <w:t>81</w:t>
        </w:r>
        <w:r w:rsidR="0078312E">
          <w:rPr>
            <w:noProof/>
            <w:webHidden/>
          </w:rPr>
          <w:fldChar w:fldCharType="end"/>
        </w:r>
      </w:hyperlink>
    </w:p>
    <w:p w14:paraId="3FADD9B1" w14:textId="77777777" w:rsidR="00DB15E9" w:rsidRDefault="0078312E">
      <w:pPr>
        <w:pStyle w:val="TOC4"/>
        <w:rPr>
          <w:rFonts w:eastAsiaTheme="minorEastAsia"/>
          <w:noProof/>
        </w:rPr>
      </w:pPr>
      <w:r>
        <w:rPr>
          <w:rStyle w:val="Hyperlink"/>
          <w:u w:val="none"/>
        </w:rPr>
        <w:fldChar w:fldCharType="end"/>
      </w:r>
      <w:r>
        <w:rPr>
          <w:rStyle w:val="Hyperlink"/>
          <w:u w:val="none"/>
        </w:rPr>
        <w:fldChar w:fldCharType="begin"/>
      </w:r>
      <w:r>
        <w:rPr>
          <w:rStyle w:val="Hyperlink"/>
          <w:u w:val="none"/>
        </w:rPr>
        <w:instrText xml:space="preserve"> TOC \h \z \c "Figure B-" </w:instrText>
      </w:r>
      <w:r>
        <w:rPr>
          <w:rStyle w:val="Hyperlink"/>
          <w:u w:val="none"/>
        </w:rPr>
        <w:fldChar w:fldCharType="separate"/>
      </w:r>
      <w:hyperlink w:anchor="_Toc471911502" w:history="1">
        <w:r>
          <w:rPr>
            <w:rStyle w:val="Hyperlink"/>
            <w:noProof/>
            <w:u w:val="none"/>
          </w:rPr>
          <w:t>Figure B-1: Summary of Transition to Normal Operations</w:t>
        </w:r>
        <w:r>
          <w:rPr>
            <w:noProof/>
            <w:webHidden/>
          </w:rPr>
          <w:tab/>
        </w:r>
        <w:r>
          <w:rPr>
            <w:noProof/>
            <w:webHidden/>
          </w:rPr>
          <w:fldChar w:fldCharType="begin"/>
        </w:r>
        <w:r>
          <w:rPr>
            <w:noProof/>
            <w:webHidden/>
          </w:rPr>
          <w:instrText xml:space="preserve"> PAGEREF _Toc471911502 \h </w:instrText>
        </w:r>
        <w:r>
          <w:rPr>
            <w:noProof/>
            <w:webHidden/>
          </w:rPr>
        </w:r>
        <w:r>
          <w:rPr>
            <w:noProof/>
            <w:webHidden/>
          </w:rPr>
          <w:fldChar w:fldCharType="separate"/>
        </w:r>
        <w:r>
          <w:rPr>
            <w:noProof/>
            <w:webHidden/>
          </w:rPr>
          <w:t>83</w:t>
        </w:r>
        <w:r>
          <w:rPr>
            <w:noProof/>
            <w:webHidden/>
          </w:rPr>
          <w:fldChar w:fldCharType="end"/>
        </w:r>
      </w:hyperlink>
    </w:p>
    <w:p w14:paraId="0B8523FC" w14:textId="77777777" w:rsidR="00DB15E9" w:rsidRDefault="00BA5284">
      <w:pPr>
        <w:pStyle w:val="TOC4"/>
        <w:rPr>
          <w:noProof/>
        </w:rPr>
      </w:pPr>
      <w:hyperlink w:anchor="_Toc471911503" w:history="1">
        <w:r w:rsidR="0078312E">
          <w:rPr>
            <w:rStyle w:val="Hyperlink"/>
            <w:noProof/>
            <w:u w:val="none"/>
          </w:rPr>
          <w:t>Figure B-2: Notional Hosted Payload Mission Architecture</w:t>
        </w:r>
        <w:r w:rsidR="0078312E">
          <w:rPr>
            <w:noProof/>
            <w:webHidden/>
          </w:rPr>
          <w:tab/>
        </w:r>
        <w:r w:rsidR="0078312E">
          <w:rPr>
            <w:noProof/>
            <w:webHidden/>
          </w:rPr>
          <w:fldChar w:fldCharType="begin"/>
        </w:r>
        <w:r w:rsidR="0078312E">
          <w:rPr>
            <w:noProof/>
            <w:webHidden/>
          </w:rPr>
          <w:instrText xml:space="preserve"> PAGEREF _Toc471911503 \h </w:instrText>
        </w:r>
        <w:r w:rsidR="0078312E">
          <w:rPr>
            <w:noProof/>
            <w:webHidden/>
          </w:rPr>
        </w:r>
        <w:r w:rsidR="0078312E">
          <w:rPr>
            <w:noProof/>
            <w:webHidden/>
          </w:rPr>
          <w:fldChar w:fldCharType="separate"/>
        </w:r>
        <w:r w:rsidR="0078312E">
          <w:rPr>
            <w:noProof/>
            <w:webHidden/>
          </w:rPr>
          <w:t>88</w:t>
        </w:r>
        <w:r w:rsidR="0078312E">
          <w:rPr>
            <w:noProof/>
            <w:webHidden/>
          </w:rPr>
          <w:fldChar w:fldCharType="end"/>
        </w:r>
      </w:hyperlink>
    </w:p>
    <w:p w14:paraId="0DC2355E" w14:textId="77777777" w:rsidR="00DB15E9" w:rsidRDefault="0078312E">
      <w:pPr>
        <w:pStyle w:val="TOC4"/>
        <w:rPr>
          <w:rFonts w:eastAsiaTheme="minorEastAsia"/>
        </w:rPr>
      </w:pPr>
      <w:r>
        <w:rPr>
          <w:rStyle w:val="Hyperlink"/>
          <w:u w:val="none"/>
        </w:rPr>
        <w:fldChar w:fldCharType="end"/>
      </w:r>
      <w:r>
        <w:rPr>
          <w:rStyle w:val="Hyperlink"/>
          <w:u w:val="none"/>
        </w:rPr>
        <w:fldChar w:fldCharType="begin"/>
      </w:r>
      <w:r>
        <w:rPr>
          <w:rStyle w:val="Hyperlink"/>
          <w:u w:val="none"/>
        </w:rPr>
        <w:instrText xml:space="preserve"> TOC \h \z \c "Figure C-" </w:instrText>
      </w:r>
      <w:r>
        <w:rPr>
          <w:rStyle w:val="Hyperlink"/>
          <w:u w:val="none"/>
        </w:rPr>
        <w:fldChar w:fldCharType="separate"/>
      </w:r>
      <w:hyperlink w:anchor="_Toc471971704" w:history="1">
        <w:r>
          <w:rPr>
            <w:rStyle w:val="Hyperlink"/>
            <w:u w:val="none"/>
          </w:rPr>
          <w:t>Figure C-1: Instrument Mass vs. Development Cost</w:t>
        </w:r>
        <w:r>
          <w:rPr>
            <w:webHidden/>
          </w:rPr>
          <w:tab/>
        </w:r>
        <w:r>
          <w:rPr>
            <w:webHidden/>
          </w:rPr>
          <w:fldChar w:fldCharType="begin"/>
        </w:r>
        <w:r>
          <w:rPr>
            <w:webHidden/>
          </w:rPr>
          <w:instrText xml:space="preserve"> PAGEREF _Toc471971704 \h </w:instrText>
        </w:r>
        <w:r>
          <w:rPr>
            <w:webHidden/>
          </w:rPr>
        </w:r>
        <w:r>
          <w:rPr>
            <w:webHidden/>
          </w:rPr>
          <w:fldChar w:fldCharType="separate"/>
        </w:r>
        <w:r>
          <w:rPr>
            <w:webHidden/>
          </w:rPr>
          <w:t>91</w:t>
        </w:r>
        <w:r>
          <w:rPr>
            <w:webHidden/>
          </w:rPr>
          <w:fldChar w:fldCharType="end"/>
        </w:r>
      </w:hyperlink>
    </w:p>
    <w:p w14:paraId="6E86212D" w14:textId="77777777" w:rsidR="00DB15E9" w:rsidRDefault="00BA5284">
      <w:pPr>
        <w:pStyle w:val="TOC4"/>
        <w:rPr>
          <w:rFonts w:eastAsiaTheme="minorEastAsia"/>
        </w:rPr>
      </w:pPr>
      <w:hyperlink w:anchor="_Toc471971705" w:history="1">
        <w:r w:rsidR="0078312E">
          <w:rPr>
            <w:rStyle w:val="Hyperlink"/>
            <w:u w:val="none"/>
          </w:rPr>
          <w:t>Figure C-2: Power as a Function of Mass</w:t>
        </w:r>
        <w:r w:rsidR="0078312E">
          <w:rPr>
            <w:webHidden/>
          </w:rPr>
          <w:tab/>
        </w:r>
        <w:r w:rsidR="0078312E">
          <w:rPr>
            <w:webHidden/>
          </w:rPr>
          <w:fldChar w:fldCharType="begin"/>
        </w:r>
        <w:r w:rsidR="0078312E">
          <w:rPr>
            <w:webHidden/>
          </w:rPr>
          <w:instrText xml:space="preserve"> PAGEREF _Toc471971705 \h </w:instrText>
        </w:r>
        <w:r w:rsidR="0078312E">
          <w:rPr>
            <w:webHidden/>
          </w:rPr>
        </w:r>
        <w:r w:rsidR="0078312E">
          <w:rPr>
            <w:webHidden/>
          </w:rPr>
          <w:fldChar w:fldCharType="separate"/>
        </w:r>
        <w:r w:rsidR="0078312E">
          <w:rPr>
            <w:webHidden/>
          </w:rPr>
          <w:t>92</w:t>
        </w:r>
        <w:r w:rsidR="0078312E">
          <w:rPr>
            <w:webHidden/>
          </w:rPr>
          <w:fldChar w:fldCharType="end"/>
        </w:r>
      </w:hyperlink>
    </w:p>
    <w:p w14:paraId="2AB3A6DF" w14:textId="77777777" w:rsidR="00DB15E9" w:rsidRDefault="00BA5284">
      <w:pPr>
        <w:pStyle w:val="TOC4"/>
        <w:rPr>
          <w:rFonts w:asciiTheme="minorHAnsi" w:eastAsiaTheme="minorEastAsia" w:hAnsiTheme="minorHAnsi" w:cstheme="minorBidi"/>
          <w:noProof/>
          <w:sz w:val="22"/>
          <w:szCs w:val="22"/>
        </w:rPr>
      </w:pPr>
      <w:hyperlink w:anchor="_Toc471971706" w:history="1">
        <w:r w:rsidR="0078312E">
          <w:rPr>
            <w:rStyle w:val="Hyperlink"/>
            <w:u w:val="none"/>
          </w:rPr>
          <w:t>Figure C-3: Trend of Mean Instrument Data Rates</w:t>
        </w:r>
        <w:r w:rsidR="0078312E">
          <w:rPr>
            <w:webHidden/>
          </w:rPr>
          <w:tab/>
        </w:r>
        <w:r w:rsidR="0078312E">
          <w:rPr>
            <w:webHidden/>
          </w:rPr>
          <w:fldChar w:fldCharType="begin"/>
        </w:r>
        <w:r w:rsidR="0078312E">
          <w:rPr>
            <w:webHidden/>
          </w:rPr>
          <w:instrText xml:space="preserve"> PAGEREF _Toc471971706 \h </w:instrText>
        </w:r>
        <w:r w:rsidR="0078312E">
          <w:rPr>
            <w:webHidden/>
          </w:rPr>
        </w:r>
        <w:r w:rsidR="0078312E">
          <w:rPr>
            <w:webHidden/>
          </w:rPr>
          <w:fldChar w:fldCharType="separate"/>
        </w:r>
        <w:r w:rsidR="0078312E">
          <w:rPr>
            <w:webHidden/>
          </w:rPr>
          <w:t>93</w:t>
        </w:r>
        <w:r w:rsidR="0078312E">
          <w:rPr>
            <w:webHidden/>
          </w:rPr>
          <w:fldChar w:fldCharType="end"/>
        </w:r>
      </w:hyperlink>
    </w:p>
    <w:p w14:paraId="491585AA" w14:textId="77777777" w:rsidR="00DB15E9" w:rsidRDefault="0078312E">
      <w:pPr>
        <w:pStyle w:val="TOC4"/>
        <w:rPr>
          <w:rFonts w:eastAsiaTheme="minorEastAsia"/>
          <w:noProof/>
        </w:rPr>
      </w:pPr>
      <w:r>
        <w:rPr>
          <w:rStyle w:val="Hyperlink"/>
          <w:u w:val="none"/>
        </w:rPr>
        <w:fldChar w:fldCharType="end"/>
      </w:r>
      <w:r>
        <w:rPr>
          <w:rStyle w:val="Hyperlink"/>
          <w:u w:val="none"/>
        </w:rPr>
        <w:fldChar w:fldCharType="begin"/>
      </w:r>
      <w:r>
        <w:rPr>
          <w:rStyle w:val="Hyperlink"/>
          <w:u w:val="none"/>
        </w:rPr>
        <w:instrText xml:space="preserve"> TOC \h \z \c "Figure D-" </w:instrText>
      </w:r>
      <w:r>
        <w:rPr>
          <w:rStyle w:val="Hyperlink"/>
          <w:u w:val="none"/>
        </w:rPr>
        <w:fldChar w:fldCharType="separate"/>
      </w:r>
      <w:hyperlink w:anchor="_Toc471911511" w:history="1">
        <w:r>
          <w:rPr>
            <w:rStyle w:val="Hyperlink"/>
            <w:noProof/>
            <w:u w:val="none"/>
          </w:rPr>
          <w:t>Figure D-1: Instrument Mass vs. Development Cost</w:t>
        </w:r>
        <w:r>
          <w:rPr>
            <w:noProof/>
            <w:webHidden/>
          </w:rPr>
          <w:tab/>
        </w:r>
        <w:r>
          <w:rPr>
            <w:noProof/>
            <w:webHidden/>
          </w:rPr>
          <w:fldChar w:fldCharType="begin"/>
        </w:r>
        <w:r>
          <w:rPr>
            <w:noProof/>
            <w:webHidden/>
          </w:rPr>
          <w:instrText xml:space="preserve"> PAGEREF _Toc471911511 \h </w:instrText>
        </w:r>
        <w:r>
          <w:rPr>
            <w:noProof/>
            <w:webHidden/>
          </w:rPr>
        </w:r>
        <w:r>
          <w:rPr>
            <w:noProof/>
            <w:webHidden/>
          </w:rPr>
          <w:fldChar w:fldCharType="separate"/>
        </w:r>
        <w:r>
          <w:rPr>
            <w:noProof/>
            <w:webHidden/>
          </w:rPr>
          <w:t>94</w:t>
        </w:r>
        <w:r>
          <w:rPr>
            <w:noProof/>
            <w:webHidden/>
          </w:rPr>
          <w:fldChar w:fldCharType="end"/>
        </w:r>
      </w:hyperlink>
    </w:p>
    <w:p w14:paraId="59B59DA1" w14:textId="77777777" w:rsidR="00DB15E9" w:rsidRDefault="00BA5284">
      <w:pPr>
        <w:pStyle w:val="TOC4"/>
        <w:rPr>
          <w:rFonts w:eastAsiaTheme="minorEastAsia"/>
          <w:noProof/>
        </w:rPr>
      </w:pPr>
      <w:hyperlink w:anchor="_Toc471911512" w:history="1">
        <w:r w:rsidR="0078312E">
          <w:rPr>
            <w:rStyle w:val="Hyperlink"/>
            <w:noProof/>
            <w:u w:val="none"/>
          </w:rPr>
          <w:t>Figure D-2: Power as a Function of Mass</w:t>
        </w:r>
        <w:r w:rsidR="0078312E">
          <w:rPr>
            <w:noProof/>
            <w:webHidden/>
          </w:rPr>
          <w:tab/>
        </w:r>
        <w:r w:rsidR="0078312E">
          <w:rPr>
            <w:noProof/>
            <w:webHidden/>
          </w:rPr>
          <w:fldChar w:fldCharType="begin"/>
        </w:r>
        <w:r w:rsidR="0078312E">
          <w:rPr>
            <w:noProof/>
            <w:webHidden/>
          </w:rPr>
          <w:instrText xml:space="preserve"> PAGEREF _Toc471911512 \h </w:instrText>
        </w:r>
        <w:r w:rsidR="0078312E">
          <w:rPr>
            <w:noProof/>
            <w:webHidden/>
          </w:rPr>
        </w:r>
        <w:r w:rsidR="0078312E">
          <w:rPr>
            <w:noProof/>
            <w:webHidden/>
          </w:rPr>
          <w:fldChar w:fldCharType="separate"/>
        </w:r>
        <w:r w:rsidR="0078312E">
          <w:rPr>
            <w:noProof/>
            <w:webHidden/>
          </w:rPr>
          <w:t>95</w:t>
        </w:r>
        <w:r w:rsidR="0078312E">
          <w:rPr>
            <w:noProof/>
            <w:webHidden/>
          </w:rPr>
          <w:fldChar w:fldCharType="end"/>
        </w:r>
      </w:hyperlink>
    </w:p>
    <w:p w14:paraId="276CFF48" w14:textId="77777777" w:rsidR="00DB15E9" w:rsidRDefault="00BA5284">
      <w:pPr>
        <w:pStyle w:val="TOC4"/>
        <w:rPr>
          <w:rFonts w:eastAsiaTheme="minorEastAsia"/>
          <w:noProof/>
        </w:rPr>
      </w:pPr>
      <w:hyperlink w:anchor="_Toc471911513" w:history="1">
        <w:r w:rsidR="0078312E">
          <w:rPr>
            <w:rStyle w:val="Hyperlink"/>
            <w:noProof/>
            <w:u w:val="none"/>
          </w:rPr>
          <w:t>Figure D-3: Trend of Mean Instrument Data Rates</w:t>
        </w:r>
        <w:r w:rsidR="0078312E">
          <w:rPr>
            <w:noProof/>
            <w:webHidden/>
          </w:rPr>
          <w:tab/>
        </w:r>
        <w:r w:rsidR="0078312E">
          <w:rPr>
            <w:noProof/>
            <w:webHidden/>
          </w:rPr>
          <w:fldChar w:fldCharType="begin"/>
        </w:r>
        <w:r w:rsidR="0078312E">
          <w:rPr>
            <w:noProof/>
            <w:webHidden/>
          </w:rPr>
          <w:instrText xml:space="preserve"> PAGEREF _Toc471911513 \h </w:instrText>
        </w:r>
        <w:r w:rsidR="0078312E">
          <w:rPr>
            <w:noProof/>
            <w:webHidden/>
          </w:rPr>
        </w:r>
        <w:r w:rsidR="0078312E">
          <w:rPr>
            <w:noProof/>
            <w:webHidden/>
          </w:rPr>
          <w:fldChar w:fldCharType="separate"/>
        </w:r>
        <w:r w:rsidR="0078312E">
          <w:rPr>
            <w:noProof/>
            <w:webHidden/>
          </w:rPr>
          <w:t>96</w:t>
        </w:r>
        <w:r w:rsidR="0078312E">
          <w:rPr>
            <w:noProof/>
            <w:webHidden/>
          </w:rPr>
          <w:fldChar w:fldCharType="end"/>
        </w:r>
      </w:hyperlink>
    </w:p>
    <w:p w14:paraId="1B8A462C" w14:textId="77777777" w:rsidR="00DB15E9" w:rsidRDefault="0078312E">
      <w:pPr>
        <w:pStyle w:val="TOC4"/>
        <w:rPr>
          <w:rFonts w:eastAsiaTheme="minorEastAsia"/>
          <w:noProof/>
        </w:rPr>
      </w:pPr>
      <w:r>
        <w:rPr>
          <w:rStyle w:val="Hyperlink"/>
          <w:u w:val="none"/>
        </w:rPr>
        <w:fldChar w:fldCharType="end"/>
      </w:r>
      <w:r>
        <w:rPr>
          <w:rStyle w:val="Hyperlink"/>
          <w:u w:val="none"/>
        </w:rPr>
        <w:fldChar w:fldCharType="begin"/>
      </w:r>
      <w:r>
        <w:rPr>
          <w:rStyle w:val="Hyperlink"/>
          <w:u w:val="none"/>
        </w:rPr>
        <w:instrText xml:space="preserve"> TOC \h \z \c "Figure E-" </w:instrText>
      </w:r>
      <w:r>
        <w:rPr>
          <w:rStyle w:val="Hyperlink"/>
          <w:u w:val="none"/>
        </w:rPr>
        <w:fldChar w:fldCharType="separate"/>
      </w:r>
      <w:hyperlink w:anchor="_Toc471911490" w:history="1">
        <w:r>
          <w:rPr>
            <w:rStyle w:val="Hyperlink"/>
            <w:noProof/>
            <w:u w:val="none"/>
          </w:rPr>
          <w:t>Figure E-1: Instrument Mode Transitions</w:t>
        </w:r>
        <w:r>
          <w:rPr>
            <w:noProof/>
            <w:webHidden/>
          </w:rPr>
          <w:tab/>
        </w:r>
        <w:r>
          <w:rPr>
            <w:noProof/>
            <w:webHidden/>
          </w:rPr>
          <w:fldChar w:fldCharType="begin"/>
        </w:r>
        <w:r>
          <w:rPr>
            <w:noProof/>
            <w:webHidden/>
          </w:rPr>
          <w:instrText xml:space="preserve"> PAGEREF _Toc471911490 \h </w:instrText>
        </w:r>
        <w:r>
          <w:rPr>
            <w:noProof/>
            <w:webHidden/>
          </w:rPr>
        </w:r>
        <w:r>
          <w:rPr>
            <w:noProof/>
            <w:webHidden/>
          </w:rPr>
          <w:fldChar w:fldCharType="separate"/>
        </w:r>
        <w:r>
          <w:rPr>
            <w:noProof/>
            <w:webHidden/>
          </w:rPr>
          <w:t>97</w:t>
        </w:r>
        <w:r>
          <w:rPr>
            <w:noProof/>
            <w:webHidden/>
          </w:rPr>
          <w:fldChar w:fldCharType="end"/>
        </w:r>
      </w:hyperlink>
    </w:p>
    <w:p w14:paraId="22B2D7BC" w14:textId="77777777" w:rsidR="00DB15E9" w:rsidRDefault="0078312E">
      <w:pPr>
        <w:pStyle w:val="TOC4"/>
        <w:rPr>
          <w:rStyle w:val="Hyperlink"/>
          <w:rFonts w:asciiTheme="majorHAnsi" w:hAnsiTheme="majorHAnsi" w:cstheme="majorHAnsi"/>
          <w:szCs w:val="24"/>
          <w:u w:val="none"/>
        </w:rPr>
      </w:pPr>
      <w:r>
        <w:rPr>
          <w:rStyle w:val="Hyperlink"/>
          <w:u w:val="none"/>
        </w:rPr>
        <w:fldChar w:fldCharType="end"/>
      </w:r>
    </w:p>
    <w:p w14:paraId="420B014B" w14:textId="77777777" w:rsidR="00DB15E9" w:rsidRDefault="00DB15E9">
      <w:pPr>
        <w:pStyle w:val="TOCNoHeadings"/>
        <w:rPr>
          <w:rFonts w:asciiTheme="majorHAnsi" w:hAnsiTheme="majorHAnsi" w:cstheme="majorHAnsi"/>
          <w:szCs w:val="28"/>
        </w:rPr>
      </w:pPr>
    </w:p>
    <w:p w14:paraId="3B3D645A" w14:textId="77777777" w:rsidR="00DB15E9" w:rsidRDefault="00DB15E9">
      <w:pPr>
        <w:pStyle w:val="TOCNoHeadings"/>
        <w:rPr>
          <w:rFonts w:asciiTheme="majorHAnsi" w:hAnsiTheme="majorHAnsi" w:cstheme="majorHAnsi"/>
          <w:szCs w:val="28"/>
        </w:rPr>
        <w:sectPr w:rsidR="00DB15E9">
          <w:pgSz w:w="12240" w:h="15840" w:code="1"/>
          <w:pgMar w:top="1440" w:right="1440" w:bottom="1440" w:left="1440" w:header="720" w:footer="720" w:gutter="0"/>
          <w:pgNumType w:fmt="lowerRoman"/>
          <w:cols w:space="720"/>
          <w:docGrid w:linePitch="360"/>
        </w:sectPr>
      </w:pPr>
    </w:p>
    <w:p w14:paraId="3D3F9CD3" w14:textId="77777777" w:rsidR="00DB15E9" w:rsidRDefault="0078312E">
      <w:pPr>
        <w:pStyle w:val="Heading1"/>
        <w:numPr>
          <w:ilvl w:val="0"/>
          <w:numId w:val="1"/>
        </w:numPr>
        <w:spacing w:before="0"/>
      </w:pPr>
      <w:bookmarkStart w:id="7" w:name="_Toc266280249"/>
      <w:bookmarkStart w:id="8" w:name="_Ref272502218"/>
      <w:bookmarkStart w:id="9" w:name="_Ref207360624"/>
      <w:bookmarkStart w:id="10" w:name="_Toc471910731"/>
      <w:r>
        <w:lastRenderedPageBreak/>
        <w:t>Overview</w:t>
      </w:r>
      <w:bookmarkEnd w:id="7"/>
      <w:bookmarkEnd w:id="8"/>
      <w:bookmarkEnd w:id="9"/>
      <w:bookmarkEnd w:id="10"/>
    </w:p>
    <w:p w14:paraId="4C70131C" w14:textId="77777777" w:rsidR="00DB15E9" w:rsidRDefault="0078312E">
      <w:pPr>
        <w:pStyle w:val="Heading2"/>
      </w:pPr>
      <w:bookmarkStart w:id="11" w:name="_Toc471910732"/>
      <w:r>
        <w:t>Introduction</w:t>
      </w:r>
      <w:bookmarkStart w:id="12" w:name="_GoBack"/>
      <w:bookmarkEnd w:id="11"/>
      <w:bookmarkEnd w:id="12"/>
    </w:p>
    <w:p w14:paraId="0299E574" w14:textId="77777777" w:rsidR="00DB15E9" w:rsidRDefault="0078312E">
      <w:pPr>
        <w:pStyle w:val="ESSPBodyText"/>
      </w:pPr>
      <w:bookmarkStart w:id="13" w:name="_Toc323629352"/>
      <w:r>
        <w:t xml:space="preserve">This Hosted Payload Interface Guide (HPIG) for External Payloads was developed by the NASA Common Instrument Interface Project, and funded by the Earth System Science Pathfinder Program Office. This HPIG provides a prospective Instrument Developer with technical recommendations to assist them in designing an Instrument or Payload that may be flown as a hosted payload on commercial satellites flown in Low Earth Orbit (LEO), or Geostationary Earth Orbit (GEO). This document supersedes the Common Instrument Interface Project’s Hosted Payload Guidelines Document previously published by the NASA Earth System Science Pathfinder (ESSP) Program Office. </w:t>
      </w:r>
    </w:p>
    <w:p w14:paraId="6504432B" w14:textId="77777777" w:rsidR="00DB15E9" w:rsidRDefault="0078312E">
      <w:pPr>
        <w:pStyle w:val="ESSPBodyText"/>
      </w:pPr>
      <w:r>
        <w:t xml:space="preserve">This document includes the instrument/payload accommodations of most commercial spacecraft, including interfaces and environments that must be met and demonstrated to “do no harm” to the host in order to be compatible for launch. Instruments/payloads that are designed to be compatible with these guidelines will have a higher likelihood of being compatible with any of the commercial satellite buses, and thus maximizing launch opportunities as a hosted payload. </w:t>
      </w:r>
    </w:p>
    <w:p w14:paraId="6F91B305" w14:textId="77777777" w:rsidR="00DB15E9" w:rsidRDefault="0078312E">
      <w:pPr>
        <w:pStyle w:val="ESSPBodyText"/>
      </w:pPr>
      <w:r>
        <w:t>This document is referenced by NASA in the Common Instrument Interface Best Practices document, which provides guidance to NASA specifications and standards for instrument design. The Best Practices document is distinct and separate from this document, and is a document in its own right. The Best Practices document may be obtained from the (</w:t>
      </w:r>
      <w:hyperlink r:id="rId11" w:history="1">
        <w:r>
          <w:rPr>
            <w:rStyle w:val="Hyperlink"/>
          </w:rPr>
          <w:t>http://science.nasa.gov/about-us/smd-programs/earth-system-science-pathfinder/</w:t>
        </w:r>
      </w:hyperlink>
      <w:r>
        <w:t>). In case of any questions please contact the CII Project Manager, lowell.e.primm@nasa.gov, or curtis.r.regan @nasa.gov.</w:t>
      </w:r>
    </w:p>
    <w:p w14:paraId="438DB4F6" w14:textId="77777777" w:rsidR="00DB15E9" w:rsidRDefault="0078312E">
      <w:pPr>
        <w:pStyle w:val="Heading2"/>
      </w:pPr>
      <w:bookmarkStart w:id="14" w:name="_Toc462208716"/>
      <w:bookmarkStart w:id="15" w:name="_Toc471910733"/>
      <w:bookmarkEnd w:id="14"/>
      <w:r>
        <w:t xml:space="preserve">What is a Hosted Payload </w:t>
      </w:r>
      <w:bookmarkEnd w:id="13"/>
      <w:r>
        <w:t>and Other Definitions?</w:t>
      </w:r>
      <w:bookmarkEnd w:id="15"/>
    </w:p>
    <w:p w14:paraId="2E641BCF" w14:textId="77777777" w:rsidR="00DB15E9" w:rsidRDefault="0078312E">
      <w:pPr>
        <w:pStyle w:val="ESSPBodyText"/>
      </w:pPr>
      <w:r>
        <w:t>The verb “should” denotes a recommendation. “Will” denotes an expected future event.</w:t>
      </w:r>
    </w:p>
    <w:p w14:paraId="518B90E4" w14:textId="77777777" w:rsidR="00DB15E9" w:rsidRDefault="0078312E">
      <w:pPr>
        <w:pStyle w:val="ESSPBodyText"/>
      </w:pPr>
      <w:r>
        <w:rPr>
          <w:u w:val="single"/>
        </w:rPr>
        <w:t>Hosted Payload or Instrument</w:t>
      </w:r>
      <w:r>
        <w:t xml:space="preserve"> </w:t>
      </w:r>
      <w:r>
        <w:rPr>
          <w:noProof/>
        </w:rPr>
        <w:t xml:space="preserve">is used interchangeably with “payload” </w:t>
      </w:r>
      <w:r>
        <w:t xml:space="preserve">refers to an integrated payload or instrument on a commercial or Government host satellite that is dependent upon one or more of the host spacecraft’s subsystems for functionality or use of available capabilities to include mass, power, and/or communications. </w:t>
      </w:r>
    </w:p>
    <w:p w14:paraId="7242599C" w14:textId="77777777" w:rsidR="00DB15E9" w:rsidRDefault="0078312E">
      <w:pPr>
        <w:pStyle w:val="ESSPBodyText"/>
      </w:pPr>
      <w:r>
        <w:rPr>
          <w:u w:val="single"/>
        </w:rPr>
        <w:t>Hosting Opportunity</w:t>
      </w:r>
      <w:r>
        <w:t>: a spacecraft bus flying on a primary space mission with surplus resources to accommodate a hosted payload.</w:t>
      </w:r>
    </w:p>
    <w:p w14:paraId="7674AD41" w14:textId="77777777" w:rsidR="00DB15E9" w:rsidRDefault="0078312E">
      <w:pPr>
        <w:pStyle w:val="BodyText"/>
      </w:pPr>
      <w:r>
        <w:rPr>
          <w:u w:val="single"/>
        </w:rPr>
        <w:t>Instrument</w:t>
      </w:r>
      <w:r>
        <w:t>: the hosted payload to which these guidelines apply.</w:t>
      </w:r>
    </w:p>
    <w:p w14:paraId="752792EB" w14:textId="77777777" w:rsidR="00DB15E9" w:rsidRDefault="0078312E">
      <w:pPr>
        <w:pStyle w:val="ESSPBodyText"/>
      </w:pPr>
      <w:r>
        <w:rPr>
          <w:u w:val="single"/>
        </w:rPr>
        <w:t>Instrument Developer</w:t>
      </w:r>
      <w:r>
        <w:t>: the organization responsible for developing and building the Instrument itself.</w:t>
      </w:r>
    </w:p>
    <w:p w14:paraId="0A3C2867" w14:textId="77777777" w:rsidR="00DB15E9" w:rsidRDefault="0078312E">
      <w:pPr>
        <w:pStyle w:val="ESSPBodyText"/>
      </w:pPr>
      <w:r>
        <w:rPr>
          <w:u w:val="single"/>
        </w:rPr>
        <w:t>Host Spacecraft</w:t>
      </w:r>
      <w:r>
        <w:t>: the spacecraft bus that will provide the resources to accommodate the instrument or payload</w:t>
      </w:r>
      <w:bookmarkStart w:id="16" w:name="OLE_LINK77"/>
      <w:bookmarkStart w:id="17" w:name="OLE_LINK78"/>
      <w:r>
        <w:t>.</w:t>
      </w:r>
      <w:bookmarkEnd w:id="16"/>
      <w:bookmarkEnd w:id="17"/>
    </w:p>
    <w:p w14:paraId="40E6A19A" w14:textId="77777777" w:rsidR="00DB15E9" w:rsidRDefault="0078312E">
      <w:pPr>
        <w:pStyle w:val="ESSPBodyText"/>
      </w:pPr>
      <w:r>
        <w:rPr>
          <w:u w:val="single"/>
        </w:rPr>
        <w:t>Host Spacecraft Manufacturer</w:t>
      </w:r>
      <w:r>
        <w:t>: the organization responsible for manufacturing the Host Spacecraft.</w:t>
      </w:r>
    </w:p>
    <w:p w14:paraId="6AD274E6" w14:textId="77777777" w:rsidR="00DB15E9" w:rsidRDefault="0078312E">
      <w:pPr>
        <w:pStyle w:val="ESSPBodyText"/>
      </w:pPr>
      <w:r>
        <w:rPr>
          <w:u w:val="single"/>
        </w:rPr>
        <w:lastRenderedPageBreak/>
        <w:t>Satellite Operator</w:t>
      </w:r>
      <w:r>
        <w:t>: the organization or satellite owner responsible for on-orbit and ground operations throughout the Host Spacecraft’s lifetime.</w:t>
      </w:r>
    </w:p>
    <w:p w14:paraId="26DB813C" w14:textId="77777777" w:rsidR="00DB15E9" w:rsidRDefault="0078312E">
      <w:pPr>
        <w:pStyle w:val="ESSPBodyText"/>
      </w:pPr>
      <w:r>
        <w:rPr>
          <w:u w:val="single"/>
        </w:rPr>
        <w:t>Systems Integrator</w:t>
      </w:r>
      <w:r>
        <w:t>: the organization responsible for the system engineering and integrating of the complete system including the Instrument, Host Spacecraft, and Ground System.</w:t>
      </w:r>
    </w:p>
    <w:p w14:paraId="4DF9A101" w14:textId="77777777" w:rsidR="00DB15E9" w:rsidRDefault="0078312E">
      <w:pPr>
        <w:pStyle w:val="ESSPBodyText"/>
      </w:pPr>
      <w:r>
        <w:t xml:space="preserve">Unless otherwise specified, all quantities in this document are in either base or derived SI units of measure. </w:t>
      </w:r>
    </w:p>
    <w:p w14:paraId="7CA284C4" w14:textId="77777777" w:rsidR="00DB15E9" w:rsidRDefault="0078312E">
      <w:pPr>
        <w:pStyle w:val="Heading2"/>
        <w:jc w:val="both"/>
      </w:pPr>
      <w:bookmarkStart w:id="18" w:name="_Toc471910734"/>
      <w:r>
        <w:t>How the Document Was Developed</w:t>
      </w:r>
      <w:bookmarkEnd w:id="18"/>
    </w:p>
    <w:p w14:paraId="01CC5881" w14:textId="77777777" w:rsidR="00DB15E9" w:rsidRDefault="0078312E">
      <w:pPr>
        <w:pStyle w:val="ESSPBodyText"/>
      </w:pPr>
      <w:r>
        <w:t xml:space="preserve">The content of this document is aggregated from several sources. The CII Project’s HPIG team used personal engineering experience, publicly available information, and privately held information provided by industry to define the primary technical components of this document and to establish its content. The HPIG team, leveraging stakeholder feedback and numerous peer review workshops to guide efforts, with this document, seeks to establish the appropriate levels of breadth and depth of the source material as a means to generate a general all-encompassing guidelines document. </w:t>
      </w:r>
    </w:p>
    <w:p w14:paraId="176C05BD" w14:textId="77777777" w:rsidR="00DB15E9" w:rsidRDefault="0078312E">
      <w:pPr>
        <w:pStyle w:val="ESSPBodyText"/>
      </w:pPr>
      <w:r>
        <w:t>In order to increase the likelihood that a guideline-compliant Instrument design would be technically compatible with a majority of the host spacecraft, an “all-satisfy” strategy was adopted. Specifically, for each technical performance measure, guidance is generally prescribed by the most restrictive value from the set of likely spacecraft known to operate in both the LEO and GEO domains. This strategy was again generally utilized to characterize environments, whereby the most strenuous environment expected in both the LEO and GEO domains inform this guide. Where considered necessary, the CII Projects’ HPIG document team based environmental guidance on independent modeling of particular low Earth orbits that are commonly considered advantageous in supporting Earth science measurements.</w:t>
      </w:r>
    </w:p>
    <w:p w14:paraId="2624D1F8" w14:textId="77777777" w:rsidR="00DB15E9" w:rsidRDefault="0078312E">
      <w:pPr>
        <w:pStyle w:val="ESSPBodyText"/>
      </w:pPr>
      <w:r>
        <w:t xml:space="preserve">This methodology also allows for the sanitization of industry proprietary data. The set of expected LEO spacecraft is based upon the Rapid Spacecraft Development Office Catalog (http://rsdo.gsfc.nasa.gov/catalog.html), tempered by CII analyses of NASA databases and Communities of Practice. Smaller spacecraft (including microsatellites or secondary platforms) are not precluded from host consideration. The set of expected GEO spacecraft is based upon industry responses to the </w:t>
      </w:r>
      <w:r>
        <w:rPr>
          <w:i/>
        </w:rPr>
        <w:t xml:space="preserve">Request for Information for Geostationary Earth Orbit Hosted Payload Opportunities. </w:t>
      </w:r>
    </w:p>
    <w:p w14:paraId="6D97EB50" w14:textId="77777777" w:rsidR="00DB15E9" w:rsidRDefault="0078312E">
      <w:pPr>
        <w:pStyle w:val="Heading2"/>
      </w:pPr>
      <w:r>
        <w:t xml:space="preserve"> </w:t>
      </w:r>
      <w:bookmarkStart w:id="19" w:name="_Toc471910735"/>
      <w:r>
        <w:t>How to Use this Document</w:t>
      </w:r>
      <w:bookmarkEnd w:id="19"/>
    </w:p>
    <w:p w14:paraId="782B3C31" w14:textId="77777777" w:rsidR="00DB15E9" w:rsidRDefault="0078312E">
      <w:pPr>
        <w:pStyle w:val="ESSPBodyText"/>
      </w:pPr>
      <w:r>
        <w:t xml:space="preserve">The HPIG is a guidelines document only. It is not a requirements document! The content of this document represents recommendations, </w:t>
      </w:r>
      <w:r>
        <w:rPr>
          <w:u w:val="single"/>
        </w:rPr>
        <w:t>not requirements</w:t>
      </w:r>
      <w:r>
        <w:t xml:space="preserve">, and should be used as interface design guidelines only by the proposer. The CII Project HPIG team has limited the depth of guidelines to strike a balance between providing enough technical information to add value to a Pre-Phase A (Concept Studies) project and not overly constraining the Instrument design. This allows for a design sufficiently flexible to adapt to expected host satellites and limits any (incorrectly inferred) compliance burdens. This document should be used primarily for pre-proposal and proposal </w:t>
      </w:r>
      <w:r>
        <w:lastRenderedPageBreak/>
        <w:t>efforts. Once a user has determined a host spacecraft opportunity, then they will interface with the host spacecraft project for specific design and interface accommodations.</w:t>
      </w:r>
    </w:p>
    <w:p w14:paraId="2DB125CE" w14:textId="77777777" w:rsidR="00DB15E9" w:rsidRDefault="0078312E">
      <w:pPr>
        <w:pStyle w:val="ESSPBodyText"/>
        <w:rPr>
          <w:rFonts w:cs="ESHYDJ+TimesNewRomanPSMT"/>
        </w:rPr>
      </w:pPr>
      <w:r>
        <w:t>Instrument Developers are not required to comply with these guidelines, however conformance to these guidelines will enhance the host-ability of the payload to a commercial satellite host. These guidelines are not meant to replace Instrument Developer collaboration with Spacecraft Manufacturers, rather to provide familiarity of Spacecraft interfaces and accommodations in order to assist with such collaboration. Instruments that do not comply with guidelines specified in this document can be accommodated with additional resources that either offset the impact to existing HPO designs (</w:t>
      </w:r>
      <w:r>
        <w:rPr>
          <w:i/>
        </w:rPr>
        <w:t>e.g.,</w:t>
      </w:r>
      <w:r>
        <w:t xml:space="preserve"> investments enhancing Instrument capability) or propose to enable compatibility after minor alterations to spacecraft performance (</w:t>
      </w:r>
      <w:r>
        <w:rPr>
          <w:i/>
        </w:rPr>
        <w:t>e.g.,</w:t>
      </w:r>
      <w:r>
        <w:t xml:space="preserve"> investments enhancing Spacecraft capability). </w:t>
      </w:r>
      <w:r>
        <w:rPr>
          <w:rFonts w:cs="ESHYDJ+TimesNewRomanPSMT"/>
        </w:rPr>
        <w:t>While this document focuses on the technical aspects of hosted payloads, it is noteworthy that programmatic and market-based factors are likely more critical to the success of a hosted payload project than technical factors. When paired with commercial satellites, the government can take advantage of the commercial space industries best practices and profit incentives to fully realize the benefits of hosted payloads. Because the financial contribution by the Instrument, via hosting fees, to the Satellite Operator are significantly smaller than the expected revenue of satellite operations, the government may relinquish some of the oversight and decision rights it traditionally exerts in a dedicated mission. This leads to the “Do No Harm” concept explained in the Design Guidelines. With this exception, programmatic and business aspects of hosted payloads are outside the scope of this document.</w:t>
      </w:r>
    </w:p>
    <w:p w14:paraId="00040903" w14:textId="77777777" w:rsidR="00DB15E9" w:rsidRDefault="0078312E">
      <w:pPr>
        <w:pStyle w:val="ESSPBodyText"/>
      </w:pPr>
      <w:r>
        <w:t>One limitation of the “all-satisfy” strategy is that it constrains all instrument accommodation parameters to a greater degree than might be expected once the Instrument is paired with a Host Spacecraft. One size does not fit all in Hosted Payloads. Spacecraft Manufacturer tailor their bus design to each Satellite Operator’s requirements, which may allow Instrument Developers to negotiate an agreement for a larger bus or upgraded spacecraft performance than originally specified for the Satellite Operator. This enables the Host Spacecraft to accommodate more demanding Instrument requirements, but could significantly impact the cost and schedule of the program. Because the Instrument to Host Spacecraft pairing occurs in the vicinity timeframe of Key Decision Point (KDP) C (or instrument CDR), certain knowledge of these available accommodation resources will be delayed well into the Instrument’s development timeline.</w:t>
      </w:r>
    </w:p>
    <w:p w14:paraId="35DA5BE8" w14:textId="77777777" w:rsidR="00DB15E9" w:rsidRDefault="0078312E">
      <w:pPr>
        <w:pStyle w:val="Heading2"/>
      </w:pPr>
      <w:bookmarkStart w:id="20" w:name="_Toc471910736"/>
      <w:r>
        <w:t>Scope</w:t>
      </w:r>
      <w:bookmarkEnd w:id="20"/>
    </w:p>
    <w:p w14:paraId="1504A662" w14:textId="77777777" w:rsidR="00DB15E9" w:rsidRDefault="0078312E">
      <w:pPr>
        <w:pStyle w:val="ESSPBodyText"/>
      </w:pPr>
      <w:r>
        <w:t xml:space="preserve">This document’s scope is comprised of primarily interface guidelines. </w:t>
      </w:r>
      <w:r>
        <w:rPr>
          <w:rStyle w:val="ESSPBodyTextChar"/>
        </w:rPr>
        <w:fldChar w:fldCharType="begin"/>
      </w:r>
      <w:r>
        <w:rPr>
          <w:rStyle w:val="ESSPBodyTextChar"/>
        </w:rPr>
        <w:instrText xml:space="preserve"> REF  _Ref210099555 \h  \* </w:instrText>
      </w:r>
      <w:r>
        <w:instrText>Charformat</w:instrText>
      </w:r>
      <w:r>
        <w:rPr>
          <w:rStyle w:val="ESSPBodyTextChar"/>
        </w:rPr>
        <w:instrText xml:space="preserve">  \* MERGEFORMAT </w:instrText>
      </w:r>
      <w:r>
        <w:rPr>
          <w:rStyle w:val="ESSPBodyTextChar"/>
        </w:rPr>
      </w:r>
      <w:r>
        <w:rPr>
          <w:rStyle w:val="ESSPBodyTextChar"/>
        </w:rPr>
        <w:fldChar w:fldCharType="separate"/>
      </w:r>
      <w:r>
        <w:rPr>
          <w:rStyle w:val="ESSPBodyTextChar"/>
        </w:rPr>
        <w:t>Figure 1</w:t>
      </w:r>
      <w:r>
        <w:rPr>
          <w:rStyle w:val="ESSPBodyTextChar"/>
        </w:rPr>
        <w:noBreakHyphen/>
        <w:t>1</w:t>
      </w:r>
      <w:r>
        <w:rPr>
          <w:rStyle w:val="ESSPBodyTextChar"/>
        </w:rPr>
        <w:fldChar w:fldCharType="end"/>
      </w:r>
      <w:r>
        <w:t xml:space="preserve"> uses color to identify the scope: colored components are in scope; black components are out of scope.</w:t>
      </w:r>
    </w:p>
    <w:p w14:paraId="6E6FA96F" w14:textId="77777777" w:rsidR="00DB15E9" w:rsidRDefault="0078312E">
      <w:pPr>
        <w:pStyle w:val="ESSPFigure"/>
        <w:rPr>
          <w:rFonts w:ascii="Helvetica" w:hAnsi="Helvetica"/>
          <w:noProof w:val="0"/>
        </w:rPr>
      </w:pPr>
      <w:r>
        <w:rPr>
          <w:szCs w:val="22"/>
        </w:rPr>
        <w:lastRenderedPageBreak/>
        <w:drawing>
          <wp:inline distT="0" distB="0" distL="0" distR="0" wp14:anchorId="73AF1791" wp14:editId="1F281821">
            <wp:extent cx="5901690" cy="57429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690" cy="5742940"/>
                    </a:xfrm>
                    <a:prstGeom prst="rect">
                      <a:avLst/>
                    </a:prstGeom>
                    <a:noFill/>
                  </pic:spPr>
                </pic:pic>
              </a:graphicData>
            </a:graphic>
          </wp:inline>
        </w:drawing>
      </w:r>
    </w:p>
    <w:p w14:paraId="4CC3EB21" w14:textId="77777777" w:rsidR="00DB15E9" w:rsidRDefault="0078312E">
      <w:pPr>
        <w:pStyle w:val="Caption"/>
        <w:rPr>
          <w:rFonts w:ascii="Helvetica" w:hAnsi="Helvetica"/>
        </w:rPr>
      </w:pPr>
      <w:bookmarkStart w:id="21" w:name="_Ref210099555"/>
      <w:bookmarkStart w:id="22" w:name="_Toc471971581"/>
      <w:r>
        <w:t xml:space="preserve">Figure </w:t>
      </w:r>
      <w:r w:rsidR="00BA5284">
        <w:fldChar w:fldCharType="begin"/>
      </w:r>
      <w:r w:rsidR="00BA5284">
        <w:instrText xml:space="preserve"> STYLEREF </w:instrText>
      </w:r>
      <w:r w:rsidR="00BA5284">
        <w:instrText xml:space="preserve">1 \s </w:instrText>
      </w:r>
      <w:r w:rsidR="00BA5284">
        <w:fldChar w:fldCharType="separate"/>
      </w:r>
      <w:r>
        <w:rPr>
          <w:noProof/>
        </w:rPr>
        <w:t>1</w:t>
      </w:r>
      <w:r w:rsidR="00BA5284">
        <w:rPr>
          <w:noProof/>
        </w:rPr>
        <w:fldChar w:fldCharType="end"/>
      </w:r>
      <w:r>
        <w:noBreakHyphen/>
      </w:r>
      <w:r w:rsidR="00BA5284">
        <w:fldChar w:fldCharType="begin"/>
      </w:r>
      <w:r w:rsidR="00BA5284">
        <w:instrText xml:space="preserve"> SEQ Figure \* ARABIC \s 1 </w:instrText>
      </w:r>
      <w:r w:rsidR="00BA5284">
        <w:fldChar w:fldCharType="separate"/>
      </w:r>
      <w:r>
        <w:rPr>
          <w:noProof/>
        </w:rPr>
        <w:t>1</w:t>
      </w:r>
      <w:r w:rsidR="00BA5284">
        <w:rPr>
          <w:noProof/>
        </w:rPr>
        <w:fldChar w:fldCharType="end"/>
      </w:r>
      <w:bookmarkEnd w:id="21"/>
      <w:r>
        <w:rPr>
          <w:rFonts w:ascii="Helvetica" w:hAnsi="Helvetica"/>
        </w:rPr>
        <w:t>: Hosted Payload Interfaces</w:t>
      </w:r>
      <w:bookmarkEnd w:id="22"/>
    </w:p>
    <w:p w14:paraId="132028BB" w14:textId="77777777" w:rsidR="00DB15E9" w:rsidRDefault="0078312E">
      <w:pPr>
        <w:pStyle w:val="ESSPBodyText"/>
      </w:pPr>
      <w:r>
        <w:t>Interface guidelines describe the direct interactions between the Instrument and Host Spacecraft, such as physical connections and transfer protocols. Accommodation guidelines describe the constraints on the resources and services the Instrument is expected to draw upon from the Host Spacecraft, including size, mass, power, and transmission rates. Even though this Figure does not contain environments, this document will provide guidelines on the environments as well. While guidelines are not requirements—using the verb “should” instead of “shall”—they try to follow the rules of writing proper requirements.</w:t>
      </w:r>
    </w:p>
    <w:p w14:paraId="53C75C4F" w14:textId="77777777" w:rsidR="00DB15E9" w:rsidRDefault="0078312E">
      <w:pPr>
        <w:pStyle w:val="ESSPBodyText"/>
      </w:pPr>
      <w:r>
        <w:lastRenderedPageBreak/>
        <w:t xml:space="preserve">The lessons learned capture additional technical information, including modifications agreed to by Host Spacecraft Manufacturers, from previous hosted payload studies that developers may find useful. Lessons learned can be found in Appendix A </w:t>
      </w:r>
    </w:p>
    <w:p w14:paraId="222D1C64" w14:textId="77777777" w:rsidR="00DB15E9" w:rsidRDefault="0078312E">
      <w:pPr>
        <w:pStyle w:val="ESSPBodyText"/>
      </w:pPr>
      <w:r>
        <w:t>Assumptions are generally expectations of the characteristics and behavior of the Host Spacecraft and/or Host Spacecraft Manufacturer. Since Instrument requirement definition and design will likely happen prior to identification of the Host Spacecraft, these assumptions help bound the trade space.</w:t>
      </w:r>
    </w:p>
    <w:p w14:paraId="37A6EC10" w14:textId="77777777" w:rsidR="00DB15E9" w:rsidRDefault="0078312E">
      <w:pPr>
        <w:pStyle w:val="ESSPBodyText"/>
      </w:pPr>
      <w:r>
        <w:t xml:space="preserve">Because the Host Spacecraft and Instrument begin development simultaneously and independently, some parameters will not be resolved prior to Instrument-to-Host Spacecraft pairing. These parameters are defined herein as Negotiated Parameters to be agreed upon by all participating parties as development continues. This document uses an Interface Control Document (ICD) construct as the means to record agreements reached among the Instrument Developer, Host Spacecraft Manufacturer, Launch Vehicle Provider, and Satellite Owner. This document’s recommendations cover both the LEO and GEO domains. </w:t>
      </w:r>
    </w:p>
    <w:p w14:paraId="19BB0372" w14:textId="77777777" w:rsidR="00DB15E9" w:rsidRDefault="0078312E">
      <w:pPr>
        <w:pStyle w:val="Heading2"/>
      </w:pPr>
      <w:bookmarkStart w:id="23" w:name="_Toc471910737"/>
      <w:r>
        <w:t>Document Heritage</w:t>
      </w:r>
      <w:bookmarkEnd w:id="23"/>
    </w:p>
    <w:p w14:paraId="367FF9E4" w14:textId="77777777" w:rsidR="00DB15E9" w:rsidRDefault="0078312E">
      <w:pPr>
        <w:pStyle w:val="ESSPBodyText"/>
      </w:pPr>
      <w:r>
        <w:t xml:space="preserve">As stated in Section 1.1, the guidelines contained herein were developed by NASA’s Common Instrument Interface Project, and are the result of a collaborative project between the NASA Common Instrument Interface (CII) team, and LaRC’s Earth System Science Pathfinder (ESSP) Program Office. </w:t>
      </w:r>
    </w:p>
    <w:p w14:paraId="66A2729F" w14:textId="77777777" w:rsidR="00DB15E9" w:rsidRDefault="0078312E">
      <w:pPr>
        <w:pStyle w:val="ESSPBodyText"/>
      </w:pPr>
      <w:r>
        <w:t>The CII Project HPIG team plans to release updated guidelines in 18-month intervals. This forward approach will ensure this document’s guidance reflects current technical interface capabilities of commercial spacecraft manufacturers and maintains cognizance of industry-wide design practices resulting from technological advances (</w:t>
      </w:r>
      <w:r>
        <w:rPr>
          <w:i/>
        </w:rPr>
        <w:t>e.g.</w:t>
      </w:r>
      <w:r>
        <w:t xml:space="preserve"> xenon ion propulsion).</w:t>
      </w:r>
    </w:p>
    <w:p w14:paraId="011432F4" w14:textId="77777777" w:rsidR="00DB15E9" w:rsidRDefault="0078312E">
      <w:pPr>
        <w:pStyle w:val="Heading2"/>
      </w:pPr>
      <w:bookmarkStart w:id="24" w:name="_Toc310605108"/>
      <w:bookmarkStart w:id="25" w:name="_Toc471910738"/>
      <w:r>
        <w:t>Interaction with Other Agencies Involved with Hosted Payloads</w:t>
      </w:r>
      <w:bookmarkEnd w:id="24"/>
      <w:bookmarkEnd w:id="25"/>
    </w:p>
    <w:p w14:paraId="7EF37169" w14:textId="77777777" w:rsidR="00DB15E9" w:rsidRDefault="0078312E">
      <w:pPr>
        <w:pStyle w:val="ESSPBodyText"/>
      </w:pPr>
      <w:r>
        <w:t>A measure of success for these guidelines is that they will have a broad acceptance among different communities and agencies.</w:t>
      </w:r>
      <w:r>
        <w:rPr>
          <w:rFonts w:cs="Arial"/>
          <w:shd w:val="clear" w:color="auto" w:fill="FFFFFF"/>
        </w:rPr>
        <w:t xml:space="preserve"> </w:t>
      </w:r>
      <w:r>
        <w:t>The European Space Agency’s (ESA) Future Missions Division of their Earth Observation Program Directorate is also formulating a hosted payload concept for their future missions.</w:t>
      </w:r>
      <w:r>
        <w:rPr>
          <w:rFonts w:cs="Arial"/>
          <w:shd w:val="clear" w:color="auto" w:fill="FFFFFF"/>
        </w:rPr>
        <w:t xml:space="preserve"> </w:t>
      </w:r>
    </w:p>
    <w:p w14:paraId="5C52C0E1" w14:textId="77777777" w:rsidR="00DB15E9" w:rsidRDefault="0078312E">
      <w:pPr>
        <w:pStyle w:val="ESSPBodyText"/>
      </w:pPr>
      <w:r>
        <w:t>The CII Project HPIG team has been working very closely with ESA over the past few years on a unified set of guidelines for electrical power and data interfaces in the LEO domain.</w:t>
      </w:r>
      <w:r>
        <w:rPr>
          <w:rFonts w:cs="Arial"/>
          <w:shd w:val="clear" w:color="auto" w:fill="FFFFFF"/>
        </w:rPr>
        <w:t xml:space="preserve"> </w:t>
      </w:r>
      <w:r>
        <w:t>One important note is that the ESA elements will be prescriptive requirements as opposed to this HPIG.</w:t>
      </w:r>
      <w:r>
        <w:rPr>
          <w:rFonts w:cs="Arial"/>
          <w:shd w:val="clear" w:color="auto" w:fill="FFFFFF"/>
        </w:rPr>
        <w:t xml:space="preserve"> </w:t>
      </w:r>
      <w:r>
        <w:t>Due to different sets of common practices between the American and European space industries, a small number of technical differences exist between the HPIG guidelines and ESA requirements that are summarized in the following Table 1-1:</w:t>
      </w:r>
    </w:p>
    <w:p w14:paraId="6DBE6727" w14:textId="77777777" w:rsidR="00DB15E9" w:rsidRDefault="0078312E">
      <w:pPr>
        <w:tabs>
          <w:tab w:val="clear" w:pos="1440"/>
          <w:tab w:val="clear" w:pos="4140"/>
          <w:tab w:val="clear" w:pos="7920"/>
        </w:tabs>
        <w:spacing w:after="0"/>
        <w:rPr>
          <w:b/>
          <w:bCs/>
          <w:sz w:val="20"/>
          <w:szCs w:val="20"/>
        </w:rPr>
      </w:pPr>
      <w:bookmarkStart w:id="26" w:name="_Toc453056569"/>
      <w:r>
        <w:rPr>
          <w:sz w:val="20"/>
          <w:szCs w:val="20"/>
        </w:rPr>
        <w:br w:type="page"/>
      </w:r>
    </w:p>
    <w:p w14:paraId="3C884731" w14:textId="77777777" w:rsidR="00DB15E9" w:rsidRDefault="0078312E">
      <w:pPr>
        <w:pStyle w:val="Caption"/>
      </w:pPr>
      <w:bookmarkStart w:id="27" w:name="_Toc471971548"/>
      <w:r>
        <w:lastRenderedPageBreak/>
        <w:t>Table 1</w:t>
      </w:r>
      <w:r>
        <w:noBreakHyphen/>
      </w:r>
      <w:r w:rsidR="00BA5284">
        <w:fldChar w:fldCharType="begin"/>
      </w:r>
      <w:r w:rsidR="00BA5284">
        <w:instrText xml:space="preserve"> SEQ Table \* ARABIC \s 1 </w:instrText>
      </w:r>
      <w:r w:rsidR="00BA5284">
        <w:fldChar w:fldCharType="separate"/>
      </w:r>
      <w:r>
        <w:rPr>
          <w:noProof/>
        </w:rPr>
        <w:t>1</w:t>
      </w:r>
      <w:r w:rsidR="00BA5284">
        <w:rPr>
          <w:noProof/>
        </w:rPr>
        <w:fldChar w:fldCharType="end"/>
      </w:r>
      <w:r>
        <w:t>: HPIG and ESA Hosted Payload Technical Guideline Differences</w:t>
      </w:r>
      <w:bookmarkEnd w:id="26"/>
      <w:bookmarkEnd w:id="27"/>
    </w:p>
    <w:tbl>
      <w:tblPr>
        <w:tblStyle w:val="TableGrid8"/>
        <w:tblW w:w="0" w:type="auto"/>
        <w:tblLook w:val="04A0" w:firstRow="1" w:lastRow="0" w:firstColumn="1" w:lastColumn="0" w:noHBand="0" w:noVBand="1"/>
      </w:tblPr>
      <w:tblGrid>
        <w:gridCol w:w="2344"/>
        <w:gridCol w:w="2340"/>
        <w:gridCol w:w="2337"/>
        <w:gridCol w:w="2339"/>
      </w:tblGrid>
      <w:tr w:rsidR="00DB15E9" w14:paraId="5C2F1AEB" w14:textId="77777777" w:rsidTr="00DB15E9">
        <w:trPr>
          <w:cnfStyle w:val="100000000000" w:firstRow="1" w:lastRow="0" w:firstColumn="0" w:lastColumn="0" w:oddVBand="0" w:evenVBand="0" w:oddHBand="0" w:evenHBand="0" w:firstRowFirstColumn="0" w:firstRowLastColumn="0" w:lastRowFirstColumn="0" w:lastRowLastColumn="0"/>
        </w:trPr>
        <w:tc>
          <w:tcPr>
            <w:tcW w:w="2394" w:type="dxa"/>
          </w:tcPr>
          <w:p w14:paraId="531FFEBD" w14:textId="77777777" w:rsidR="00DB15E9" w:rsidRDefault="0078312E">
            <w:pPr>
              <w:pStyle w:val="ESSPBodyText"/>
            </w:pPr>
            <w:r>
              <w:t>Interface</w:t>
            </w:r>
          </w:p>
        </w:tc>
        <w:tc>
          <w:tcPr>
            <w:tcW w:w="2394" w:type="dxa"/>
          </w:tcPr>
          <w:p w14:paraId="0D7C6DA2" w14:textId="77777777" w:rsidR="00DB15E9" w:rsidRDefault="0078312E">
            <w:pPr>
              <w:pStyle w:val="ESSPBodyText"/>
            </w:pPr>
            <w:r>
              <w:t>NASA</w:t>
            </w:r>
          </w:p>
        </w:tc>
        <w:tc>
          <w:tcPr>
            <w:tcW w:w="2394" w:type="dxa"/>
          </w:tcPr>
          <w:p w14:paraId="79869293" w14:textId="77777777" w:rsidR="00DB15E9" w:rsidRDefault="0078312E">
            <w:pPr>
              <w:pStyle w:val="ESSPBodyText"/>
            </w:pPr>
            <w:r>
              <w:t>ESA</w:t>
            </w:r>
          </w:p>
        </w:tc>
        <w:tc>
          <w:tcPr>
            <w:tcW w:w="2394" w:type="dxa"/>
          </w:tcPr>
          <w:p w14:paraId="3AB2107B" w14:textId="77777777" w:rsidR="00DB15E9" w:rsidRDefault="0078312E">
            <w:pPr>
              <w:pStyle w:val="ESSPBodyText"/>
            </w:pPr>
            <w:r>
              <w:t>Comments</w:t>
            </w:r>
          </w:p>
        </w:tc>
      </w:tr>
      <w:tr w:rsidR="00DB15E9" w14:paraId="08D46E12" w14:textId="77777777" w:rsidTr="00DB15E9">
        <w:tc>
          <w:tcPr>
            <w:tcW w:w="2394" w:type="dxa"/>
          </w:tcPr>
          <w:p w14:paraId="16289A37" w14:textId="77777777" w:rsidR="00DB15E9" w:rsidRDefault="0078312E">
            <w:pPr>
              <w:pStyle w:val="ESSPBodyText"/>
            </w:pPr>
            <w:r>
              <w:t>Data Interface</w:t>
            </w:r>
          </w:p>
        </w:tc>
        <w:tc>
          <w:tcPr>
            <w:tcW w:w="2394" w:type="dxa"/>
          </w:tcPr>
          <w:p w14:paraId="2EB0F896" w14:textId="77777777" w:rsidR="00DB15E9" w:rsidRDefault="0078312E">
            <w:pPr>
              <w:pStyle w:val="ESSPBodyText"/>
            </w:pPr>
            <w:r>
              <w:t>SpaceWire, RS422, Mil-STD-1553</w:t>
            </w:r>
          </w:p>
        </w:tc>
        <w:tc>
          <w:tcPr>
            <w:tcW w:w="2394" w:type="dxa"/>
          </w:tcPr>
          <w:p w14:paraId="563D6CB4" w14:textId="77777777" w:rsidR="00DB15E9" w:rsidRDefault="0078312E">
            <w:pPr>
              <w:pStyle w:val="ESSPBodyText"/>
            </w:pPr>
            <w:r>
              <w:t>SpaceWire</w:t>
            </w:r>
          </w:p>
        </w:tc>
        <w:tc>
          <w:tcPr>
            <w:tcW w:w="2394" w:type="dxa"/>
          </w:tcPr>
          <w:p w14:paraId="0D8029E8" w14:textId="77777777" w:rsidR="00DB15E9" w:rsidRDefault="00DB15E9">
            <w:pPr>
              <w:pStyle w:val="ESSPBodyText"/>
            </w:pPr>
          </w:p>
        </w:tc>
      </w:tr>
      <w:tr w:rsidR="00DB15E9" w14:paraId="2036AC25" w14:textId="77777777" w:rsidTr="00DB15E9">
        <w:tc>
          <w:tcPr>
            <w:tcW w:w="2394" w:type="dxa"/>
          </w:tcPr>
          <w:p w14:paraId="588F5246" w14:textId="77777777" w:rsidR="00DB15E9" w:rsidRDefault="0078312E">
            <w:pPr>
              <w:pStyle w:val="ESSPBodyText"/>
            </w:pPr>
            <w:r>
              <w:t>On-board data storage</w:t>
            </w:r>
          </w:p>
        </w:tc>
        <w:tc>
          <w:tcPr>
            <w:tcW w:w="2394" w:type="dxa"/>
          </w:tcPr>
          <w:p w14:paraId="0D5427F1" w14:textId="77777777" w:rsidR="00DB15E9" w:rsidRDefault="0078312E">
            <w:pPr>
              <w:pStyle w:val="ESSPBodyText"/>
            </w:pPr>
            <w:r>
              <w:t>Instrument</w:t>
            </w:r>
          </w:p>
        </w:tc>
        <w:tc>
          <w:tcPr>
            <w:tcW w:w="2394" w:type="dxa"/>
          </w:tcPr>
          <w:p w14:paraId="708CFA3A" w14:textId="77777777" w:rsidR="00DB15E9" w:rsidRDefault="0078312E">
            <w:pPr>
              <w:pStyle w:val="ESSPBodyText"/>
            </w:pPr>
            <w:r>
              <w:t>Spacecraft</w:t>
            </w:r>
          </w:p>
        </w:tc>
        <w:tc>
          <w:tcPr>
            <w:tcW w:w="2394" w:type="dxa"/>
          </w:tcPr>
          <w:p w14:paraId="6B686D51" w14:textId="77777777" w:rsidR="00DB15E9" w:rsidRDefault="00DB15E9">
            <w:pPr>
              <w:pStyle w:val="ESSPBodyText"/>
            </w:pPr>
          </w:p>
        </w:tc>
      </w:tr>
      <w:tr w:rsidR="00DB15E9" w14:paraId="2448FDCA" w14:textId="77777777" w:rsidTr="00DB15E9">
        <w:tc>
          <w:tcPr>
            <w:tcW w:w="2394" w:type="dxa"/>
          </w:tcPr>
          <w:p w14:paraId="6C76DAAF" w14:textId="77777777" w:rsidR="00DB15E9" w:rsidRDefault="0078312E">
            <w:pPr>
              <w:pStyle w:val="ESSPBodyText"/>
            </w:pPr>
            <w:r>
              <w:t>Power</w:t>
            </w:r>
          </w:p>
        </w:tc>
        <w:tc>
          <w:tcPr>
            <w:tcW w:w="2394" w:type="dxa"/>
          </w:tcPr>
          <w:p w14:paraId="26B06436" w14:textId="77777777" w:rsidR="00DB15E9" w:rsidRDefault="0078312E">
            <w:pPr>
              <w:pStyle w:val="ESSPBodyText"/>
            </w:pPr>
            <w:r>
              <w:t>28 ± 6 VDC</w:t>
            </w:r>
          </w:p>
        </w:tc>
        <w:tc>
          <w:tcPr>
            <w:tcW w:w="2394" w:type="dxa"/>
          </w:tcPr>
          <w:p w14:paraId="5801302D" w14:textId="77777777" w:rsidR="00DB15E9" w:rsidRDefault="0078312E">
            <w:pPr>
              <w:pStyle w:val="ESSPBodyText"/>
            </w:pPr>
            <w:r>
              <w:t>18 to 36 VDC</w:t>
            </w:r>
          </w:p>
        </w:tc>
        <w:tc>
          <w:tcPr>
            <w:tcW w:w="2394" w:type="dxa"/>
          </w:tcPr>
          <w:p w14:paraId="40A20FE8" w14:textId="77777777" w:rsidR="00DB15E9" w:rsidRDefault="00DB15E9">
            <w:pPr>
              <w:pStyle w:val="ESSPBodyText"/>
            </w:pPr>
          </w:p>
        </w:tc>
      </w:tr>
      <w:tr w:rsidR="00DB15E9" w14:paraId="28963BD9" w14:textId="77777777" w:rsidTr="00DB15E9">
        <w:tc>
          <w:tcPr>
            <w:tcW w:w="2394" w:type="dxa"/>
          </w:tcPr>
          <w:p w14:paraId="1F3D054D" w14:textId="77777777" w:rsidR="00DB15E9" w:rsidRDefault="0078312E">
            <w:pPr>
              <w:pStyle w:val="ESSPBodyText"/>
            </w:pPr>
            <w:r>
              <w:t>Discrete PPS line</w:t>
            </w:r>
          </w:p>
        </w:tc>
        <w:tc>
          <w:tcPr>
            <w:tcW w:w="2394" w:type="dxa"/>
          </w:tcPr>
          <w:p w14:paraId="0301296D" w14:textId="77777777" w:rsidR="00DB15E9" w:rsidRDefault="0078312E">
            <w:pPr>
              <w:pStyle w:val="ESSPBodyText"/>
            </w:pPr>
            <w:r>
              <w:t>Optional</w:t>
            </w:r>
          </w:p>
        </w:tc>
        <w:tc>
          <w:tcPr>
            <w:tcW w:w="2394" w:type="dxa"/>
          </w:tcPr>
          <w:p w14:paraId="5E9EF4E4" w14:textId="77777777" w:rsidR="00DB15E9" w:rsidRDefault="0078312E">
            <w:pPr>
              <w:pStyle w:val="ESSPBodyText"/>
            </w:pPr>
            <w:r>
              <w:t>Required</w:t>
            </w:r>
          </w:p>
        </w:tc>
        <w:tc>
          <w:tcPr>
            <w:tcW w:w="2394" w:type="dxa"/>
          </w:tcPr>
          <w:p w14:paraId="1325B4D0" w14:textId="77777777" w:rsidR="00DB15E9" w:rsidRDefault="00DB15E9">
            <w:pPr>
              <w:pStyle w:val="ESSPBodyText"/>
            </w:pPr>
          </w:p>
        </w:tc>
      </w:tr>
      <w:tr w:rsidR="00DB15E9" w14:paraId="3E26463F" w14:textId="77777777" w:rsidTr="00DB15E9">
        <w:tc>
          <w:tcPr>
            <w:tcW w:w="2394" w:type="dxa"/>
          </w:tcPr>
          <w:p w14:paraId="2682B4B9" w14:textId="77777777" w:rsidR="00DB15E9" w:rsidRDefault="0078312E">
            <w:pPr>
              <w:pStyle w:val="ESSPBodyText"/>
            </w:pPr>
            <w:r>
              <w:t>Redundancy</w:t>
            </w:r>
          </w:p>
        </w:tc>
        <w:tc>
          <w:tcPr>
            <w:tcW w:w="2394" w:type="dxa"/>
          </w:tcPr>
          <w:p w14:paraId="7F5BDC38" w14:textId="77777777" w:rsidR="00DB15E9" w:rsidRDefault="0078312E">
            <w:pPr>
              <w:pStyle w:val="ESSPBodyText"/>
            </w:pPr>
            <w:r>
              <w:t>Optional</w:t>
            </w:r>
          </w:p>
        </w:tc>
        <w:tc>
          <w:tcPr>
            <w:tcW w:w="2394" w:type="dxa"/>
          </w:tcPr>
          <w:p w14:paraId="021C4755" w14:textId="77777777" w:rsidR="00DB15E9" w:rsidRDefault="0078312E">
            <w:pPr>
              <w:pStyle w:val="ESSPBodyText"/>
            </w:pPr>
            <w:r>
              <w:t>Required</w:t>
            </w:r>
          </w:p>
        </w:tc>
        <w:tc>
          <w:tcPr>
            <w:tcW w:w="2394" w:type="dxa"/>
          </w:tcPr>
          <w:p w14:paraId="11E94C71" w14:textId="77777777" w:rsidR="00DB15E9" w:rsidRDefault="0078312E">
            <w:pPr>
              <w:pStyle w:val="ESSPBodyText"/>
            </w:pPr>
            <w:r>
              <w:t>Data, power, Survival Heaters</w:t>
            </w:r>
          </w:p>
        </w:tc>
      </w:tr>
      <w:tr w:rsidR="00DB15E9" w14:paraId="57782DA1" w14:textId="77777777" w:rsidTr="00DB15E9">
        <w:tc>
          <w:tcPr>
            <w:tcW w:w="2394" w:type="dxa"/>
          </w:tcPr>
          <w:p w14:paraId="5D61BC65" w14:textId="77777777" w:rsidR="00DB15E9" w:rsidRDefault="0078312E">
            <w:pPr>
              <w:pStyle w:val="ESSPBodyText"/>
            </w:pPr>
            <w:r>
              <w:t>EMI/EMC</w:t>
            </w:r>
          </w:p>
        </w:tc>
        <w:tc>
          <w:tcPr>
            <w:tcW w:w="2394" w:type="dxa"/>
          </w:tcPr>
          <w:p w14:paraId="098562E9" w14:textId="77777777" w:rsidR="00DB15E9" w:rsidRDefault="0078312E">
            <w:pPr>
              <w:pStyle w:val="ESSPBodyText"/>
            </w:pPr>
            <w:r>
              <w:t>Tailored MIL-STD-461F Based on inputs</w:t>
            </w:r>
          </w:p>
        </w:tc>
        <w:tc>
          <w:tcPr>
            <w:tcW w:w="2394" w:type="dxa"/>
          </w:tcPr>
          <w:p w14:paraId="5D302D8E" w14:textId="77777777" w:rsidR="00DB15E9" w:rsidRDefault="0078312E">
            <w:pPr>
              <w:pStyle w:val="ESSPBodyText"/>
            </w:pPr>
            <w:r>
              <w:t>Will be tailored from MIL-STD-461F</w:t>
            </w:r>
          </w:p>
        </w:tc>
        <w:tc>
          <w:tcPr>
            <w:tcW w:w="2394" w:type="dxa"/>
          </w:tcPr>
          <w:p w14:paraId="1C50812C" w14:textId="77777777" w:rsidR="00DB15E9" w:rsidRDefault="0078312E">
            <w:pPr>
              <w:pStyle w:val="ESSPBodyText"/>
            </w:pPr>
            <w:r>
              <w:t>Inputs from RFI responders</w:t>
            </w:r>
          </w:p>
        </w:tc>
      </w:tr>
      <w:tr w:rsidR="00DB15E9" w14:paraId="0F16FAAA" w14:textId="77777777" w:rsidTr="00DB15E9">
        <w:tc>
          <w:tcPr>
            <w:tcW w:w="2394" w:type="dxa"/>
          </w:tcPr>
          <w:p w14:paraId="387B5F9E" w14:textId="77777777" w:rsidR="00DB15E9" w:rsidRDefault="0078312E">
            <w:pPr>
              <w:pStyle w:val="ESSPBodyText"/>
            </w:pPr>
            <w:r>
              <w:t>Overcurrent protection</w:t>
            </w:r>
          </w:p>
        </w:tc>
        <w:tc>
          <w:tcPr>
            <w:tcW w:w="2394" w:type="dxa"/>
          </w:tcPr>
          <w:p w14:paraId="700FF9FA" w14:textId="77777777" w:rsidR="00DB15E9" w:rsidRDefault="0078312E">
            <w:pPr>
              <w:pStyle w:val="ESSPBodyText"/>
            </w:pPr>
            <w:r>
              <w:t>Open</w:t>
            </w:r>
          </w:p>
        </w:tc>
        <w:tc>
          <w:tcPr>
            <w:tcW w:w="2394" w:type="dxa"/>
          </w:tcPr>
          <w:p w14:paraId="2FF5D3E6" w14:textId="77777777" w:rsidR="00DB15E9" w:rsidRDefault="0078312E">
            <w:pPr>
              <w:pStyle w:val="ESSPBodyText"/>
            </w:pPr>
            <w:r>
              <w:t>Latching Current Limiters (LCL)</w:t>
            </w:r>
          </w:p>
        </w:tc>
        <w:tc>
          <w:tcPr>
            <w:tcW w:w="2394" w:type="dxa"/>
          </w:tcPr>
          <w:p w14:paraId="04CEDD93" w14:textId="77777777" w:rsidR="00DB15E9" w:rsidRDefault="00DB15E9">
            <w:pPr>
              <w:pStyle w:val="ESSPBodyText"/>
            </w:pPr>
          </w:p>
        </w:tc>
      </w:tr>
    </w:tbl>
    <w:p w14:paraId="7F9B1050" w14:textId="77777777" w:rsidR="00DB15E9" w:rsidRDefault="00DB15E9">
      <w:pPr>
        <w:pStyle w:val="ESSPBodyText"/>
        <w:rPr>
          <w:highlight w:val="yellow"/>
        </w:rPr>
      </w:pPr>
    </w:p>
    <w:p w14:paraId="7ACDD4FB" w14:textId="77777777" w:rsidR="00DB15E9" w:rsidRDefault="0078312E">
      <w:pPr>
        <w:pStyle w:val="Heading1"/>
      </w:pPr>
      <w:bookmarkStart w:id="28" w:name="_Toc471910739"/>
      <w:bookmarkStart w:id="29" w:name="_Ref308601325"/>
      <w:bookmarkStart w:id="30" w:name="_Toc193181380"/>
      <w:r>
        <w:lastRenderedPageBreak/>
        <w:t>Design Guidelines for LEO</w:t>
      </w:r>
      <w:bookmarkEnd w:id="28"/>
    </w:p>
    <w:p w14:paraId="45708E34" w14:textId="77777777" w:rsidR="00DB15E9" w:rsidRDefault="0078312E">
      <w:pPr>
        <w:pStyle w:val="Heading2"/>
      </w:pPr>
      <w:bookmarkStart w:id="31" w:name="_Ref453070852"/>
      <w:bookmarkStart w:id="32" w:name="_Toc471910740"/>
      <w:bookmarkEnd w:id="29"/>
      <w:r>
        <w:t>Assumptions</w:t>
      </w:r>
      <w:bookmarkEnd w:id="31"/>
      <w:bookmarkEnd w:id="32"/>
    </w:p>
    <w:p w14:paraId="0A0C45D3" w14:textId="77777777" w:rsidR="00DB15E9" w:rsidRDefault="0078312E">
      <w:pPr>
        <w:pStyle w:val="ESSPBodyText"/>
      </w:pPr>
      <w:r>
        <w:t>The HPIG guidelines assume the following regarding the Host Spacecraft:</w:t>
      </w:r>
    </w:p>
    <w:p w14:paraId="13DF5678" w14:textId="77777777" w:rsidR="00DB15E9" w:rsidRDefault="0078312E">
      <w:pPr>
        <w:pStyle w:val="ESSPNumberedList"/>
        <w:numPr>
          <w:ilvl w:val="0"/>
          <w:numId w:val="19"/>
        </w:numPr>
      </w:pPr>
      <w:r>
        <w:t>Hosted Payload: The Host Spacecraft will have a primary mission different from that of the Instrument.</w:t>
      </w:r>
    </w:p>
    <w:p w14:paraId="7A04F083" w14:textId="77777777" w:rsidR="00DB15E9" w:rsidRDefault="0078312E">
      <w:pPr>
        <w:pStyle w:val="ESSPNumberedList"/>
      </w:pPr>
      <w:r>
        <w:rPr>
          <w:rFonts w:asciiTheme="majorHAnsi" w:hAnsiTheme="majorHAnsi" w:cstheme="majorHAnsi"/>
        </w:rPr>
        <w:t>Nominal Orbit: The Host</w:t>
      </w:r>
      <w:r>
        <w:t xml:space="preserve"> Spacecraft will operate in LEO with an altitude between 350 and 2000 kilometers with eccentricity less than 1 and inclination between zero and 180°, inclusive.</w:t>
      </w:r>
    </w:p>
    <w:p w14:paraId="2A8BD743" w14:textId="77777777" w:rsidR="00DB15E9" w:rsidRDefault="0078312E">
      <w:pPr>
        <w:pStyle w:val="ESSPNumberedList"/>
      </w:pPr>
      <w:r>
        <w:t>Responsibility for Integration: The Host Spacecraft Manufacturer will integrate the Instrument onto the Host Spacecraft with support from the Instrument Developer.</w:t>
      </w:r>
    </w:p>
    <w:p w14:paraId="51CE00FA" w14:textId="77777777" w:rsidR="00DB15E9" w:rsidRDefault="0078312E">
      <w:pPr>
        <w:pStyle w:val="Heading2"/>
      </w:pPr>
      <w:bookmarkStart w:id="33" w:name="_Toc471910741"/>
      <w:r>
        <w:t>Hosted Payload Worldview</w:t>
      </w:r>
      <w:bookmarkEnd w:id="33"/>
    </w:p>
    <w:p w14:paraId="67085647" w14:textId="77777777" w:rsidR="00DB15E9" w:rsidRDefault="0078312E">
      <w:pPr>
        <w:pStyle w:val="Requirement"/>
      </w:pPr>
      <w:r>
        <w:t>The Instrument should prevent itself or any of its components from damaging or otherwise degrading the mission performance of the Host Spacecraft or any other payloads.</w:t>
      </w:r>
    </w:p>
    <w:p w14:paraId="45E2CB5E" w14:textId="77777777" w:rsidR="00DB15E9" w:rsidRDefault="0078312E">
      <w:pPr>
        <w:pStyle w:val="ESSPBodyText"/>
      </w:pPr>
      <w:r>
        <w:t>Rationale: The most important constraint on a hosted payload is to “do no harm” to the Host Spacecraft or other payloads.</w:t>
      </w:r>
      <w:r>
        <w:rPr>
          <w:rFonts w:cs="Arial"/>
          <w:shd w:val="clear" w:color="auto" w:fill="FFFFFF"/>
        </w:rPr>
        <w:t xml:space="preserve"> </w:t>
      </w:r>
      <w:r>
        <w:t>For example, the Instrument should not intentionally generate orbital debris.</w:t>
      </w:r>
      <w:r>
        <w:rPr>
          <w:rFonts w:cs="Arial"/>
          <w:shd w:val="clear" w:color="auto" w:fill="FFFFFF"/>
        </w:rPr>
        <w:t xml:space="preserve"> </w:t>
      </w:r>
      <w:r>
        <w:t>The Satellite Operator will have the authority and capability to remove power or otherwise terminate the Instrument should either the Host Spacecraft's available services degrade or the Instrument pose a threat to the Host Spacecraft.</w:t>
      </w:r>
      <w:r>
        <w:rPr>
          <w:rFonts w:cs="Arial"/>
          <w:shd w:val="clear" w:color="auto" w:fill="FFFFFF"/>
        </w:rPr>
        <w:t xml:space="preserve"> </w:t>
      </w:r>
      <w:r>
        <w:t xml:space="preserve">This guideline applies over the period beginning at the initiation of Instrument integration to the Host Spacecraft and ending at the completion of the disposal of the Host Spacecraft. </w:t>
      </w:r>
    </w:p>
    <w:p w14:paraId="28A0AC5E" w14:textId="77777777" w:rsidR="00DB15E9" w:rsidRDefault="0078312E">
      <w:pPr>
        <w:pStyle w:val="Heading2"/>
      </w:pPr>
      <w:bookmarkStart w:id="34" w:name="_Toc471910742"/>
      <w:r>
        <w:t>Mission Risk</w:t>
      </w:r>
      <w:bookmarkEnd w:id="34"/>
      <w:r>
        <w:t xml:space="preserve"> </w:t>
      </w:r>
    </w:p>
    <w:p w14:paraId="3701561C" w14:textId="77777777" w:rsidR="00DB15E9" w:rsidRDefault="0078312E">
      <w:pPr>
        <w:pStyle w:val="Requirement"/>
      </w:pPr>
      <w:r>
        <w:t xml:space="preserve">The Instrument should comply with Mission Risk class, as required by the customer such as the AO. </w:t>
      </w:r>
    </w:p>
    <w:p w14:paraId="49514058" w14:textId="77777777" w:rsidR="00DB15E9" w:rsidRDefault="0078312E">
      <w:pPr>
        <w:pStyle w:val="Requirement"/>
      </w:pPr>
      <w:r>
        <w:t>Mission risk classes are a measure of the instrument’s mission design and reliability.</w:t>
      </w:r>
      <w:r>
        <w:rPr>
          <w:rFonts w:cs="Arial"/>
          <w:shd w:val="clear" w:color="auto" w:fill="FFFFFF"/>
        </w:rPr>
        <w:t xml:space="preserve"> </w:t>
      </w:r>
      <w:r>
        <w:t>Regardless of the instrument’s mission risk class, the instrument must conform to the host “do no harm” requirements.</w:t>
      </w:r>
      <w:r>
        <w:rPr>
          <w:rFonts w:cs="Arial"/>
          <w:shd w:val="clear" w:color="auto" w:fill="FFFFFF"/>
        </w:rPr>
        <w:t xml:space="preserve"> </w:t>
      </w:r>
    </w:p>
    <w:p w14:paraId="4D1E5772" w14:textId="77777777" w:rsidR="00DB15E9" w:rsidRDefault="0078312E">
      <w:pPr>
        <w:pStyle w:val="Requirement"/>
        <w:rPr>
          <w:b w:val="0"/>
        </w:rPr>
      </w:pPr>
      <w:r>
        <w:rPr>
          <w:b w:val="0"/>
        </w:rPr>
        <w:t>Rationale: Future AOs will specify the risk class of the instrument</w:t>
      </w:r>
      <w:r>
        <w:t>.</w:t>
      </w:r>
    </w:p>
    <w:p w14:paraId="200D8456" w14:textId="77777777" w:rsidR="00DB15E9" w:rsidRDefault="0078312E">
      <w:pPr>
        <w:pStyle w:val="Heading2"/>
      </w:pPr>
      <w:bookmarkStart w:id="35" w:name="_Toc471910743"/>
      <w:r>
        <w:t>Instrument End of Life</w:t>
      </w:r>
      <w:bookmarkEnd w:id="35"/>
      <w:r>
        <w:t xml:space="preserve"> </w:t>
      </w:r>
    </w:p>
    <w:p w14:paraId="419A9B81" w14:textId="77777777" w:rsidR="00DB15E9" w:rsidRDefault="0078312E">
      <w:pPr>
        <w:pStyle w:val="Requirement"/>
      </w:pPr>
      <w:r>
        <w:t>The Instrument should place itself into a “safe” configuration upon reaching its end of life to prevent damage to the Host Spacecraft or any other payloads.</w:t>
      </w:r>
    </w:p>
    <w:p w14:paraId="634C698B" w14:textId="77777777" w:rsidR="00DB15E9" w:rsidRDefault="0078312E">
      <w:pPr>
        <w:pStyle w:val="ESSPBodyText"/>
      </w:pPr>
      <w:r>
        <w:t>Rationale:</w:t>
      </w:r>
      <w:r>
        <w:rPr>
          <w:rFonts w:cs="Arial"/>
          <w:shd w:val="clear" w:color="auto" w:fill="FFFFFF"/>
        </w:rPr>
        <w:t xml:space="preserve"> </w:t>
      </w:r>
      <w:r>
        <w:t>The Instrument may have potential energy remaining in components such as pressure vessels, mechanisms, batteries, and capacitors, from which a post-retirement failure might cause damage to the Spacecraft Host or its payloads.</w:t>
      </w:r>
      <w:r>
        <w:rPr>
          <w:rFonts w:cs="Arial"/>
          <w:shd w:val="clear" w:color="auto" w:fill="FFFFFF"/>
        </w:rPr>
        <w:t xml:space="preserve"> </w:t>
      </w:r>
      <w:r>
        <w:t xml:space="preserve">The Instrument Developer should develop, in concert with the Host Spacecraft and the Satellite Operator, an End of Mission Plan that specifies the actions that the Instrument payload and Host Spacecraft will take to “safe” the Instrument </w:t>
      </w:r>
      <w:r>
        <w:lastRenderedPageBreak/>
        <w:t xml:space="preserve">payload by reduction of potential energy once either party declares the Instrument’s mission “Complete.” </w:t>
      </w:r>
    </w:p>
    <w:p w14:paraId="0579F6DB" w14:textId="77777777" w:rsidR="00DB15E9" w:rsidRDefault="0078312E">
      <w:pPr>
        <w:pStyle w:val="Heading2"/>
      </w:pPr>
      <w:bookmarkStart w:id="36" w:name="_Toc471910744"/>
      <w:r>
        <w:t>Prevention of Failure Back-Propagation</w:t>
      </w:r>
      <w:bookmarkEnd w:id="36"/>
      <w:r>
        <w:t xml:space="preserve"> </w:t>
      </w:r>
    </w:p>
    <w:p w14:paraId="32FFDE9D" w14:textId="77777777" w:rsidR="00DB15E9" w:rsidRDefault="0078312E">
      <w:pPr>
        <w:pStyle w:val="Requirement"/>
      </w:pPr>
      <w:r>
        <w:t>The Instrument and all of its components should prevent anomalous conditions, including failures, from propagating to the Host Spacecraft or other payloads.</w:t>
      </w:r>
    </w:p>
    <w:p w14:paraId="1D0C0993" w14:textId="77777777" w:rsidR="00DB15E9" w:rsidRDefault="0078312E">
      <w:pPr>
        <w:pStyle w:val="ESSPBodyText"/>
      </w:pPr>
      <w:r>
        <w:t>Rationale: The Instrument design should isolate the effects of Instrument anomalies and failures, such as power spikes, momentum transients, and electromagnetic interference so that they are contained within the boundaries of the Instrument system.</w:t>
      </w:r>
    </w:p>
    <w:p w14:paraId="71D80C63" w14:textId="77777777" w:rsidR="00DB15E9" w:rsidRDefault="0078312E">
      <w:pPr>
        <w:pStyle w:val="Heading2"/>
      </w:pPr>
      <w:bookmarkStart w:id="37" w:name="_Toc471910745"/>
      <w:r>
        <w:t>Data Guidelines</w:t>
      </w:r>
      <w:bookmarkEnd w:id="37"/>
      <w:r>
        <w:t xml:space="preserve"> </w:t>
      </w:r>
    </w:p>
    <w:p w14:paraId="086036D1" w14:textId="77777777" w:rsidR="00DB15E9" w:rsidRDefault="0078312E">
      <w:pPr>
        <w:pStyle w:val="Heading3"/>
      </w:pPr>
      <w:bookmarkStart w:id="38" w:name="_Toc327253824"/>
      <w:bookmarkStart w:id="39" w:name="_Toc471910746"/>
      <w:r>
        <w:t>Assumptions</w:t>
      </w:r>
      <w:bookmarkEnd w:id="38"/>
      <w:bookmarkEnd w:id="39"/>
    </w:p>
    <w:p w14:paraId="6E23A559" w14:textId="77777777" w:rsidR="00DB15E9" w:rsidRDefault="0078312E">
      <w:pPr>
        <w:pStyle w:val="ESSPBodyText"/>
      </w:pPr>
      <w:r>
        <w:t>The HPIG data guidelines assume the following regarding the Host Spacecraft:</w:t>
      </w:r>
    </w:p>
    <w:p w14:paraId="688B34BA" w14:textId="77777777" w:rsidR="00DB15E9" w:rsidRDefault="0078312E">
      <w:pPr>
        <w:pStyle w:val="ESSPNumberedList"/>
        <w:numPr>
          <w:ilvl w:val="0"/>
          <w:numId w:val="14"/>
        </w:numPr>
      </w:pPr>
      <w:r>
        <w:t xml:space="preserve">During the pairing process, the </w:t>
      </w:r>
      <w:bookmarkStart w:id="40" w:name="OLE_LINK31"/>
      <w:bookmarkStart w:id="41" w:name="OLE_LINK32"/>
      <w:r>
        <w:t>Host Spacecraft Manufacturer/Systems Integrator</w:t>
      </w:r>
      <w:bookmarkEnd w:id="40"/>
      <w:bookmarkEnd w:id="41"/>
      <w:r>
        <w:t xml:space="preserve"> and the Instrument Developer will negotiate detailed parameters of the data interface.</w:t>
      </w:r>
      <w:r>
        <w:rPr>
          <w:rFonts w:cs="Arial"/>
          <w:shd w:val="clear" w:color="auto" w:fill="FFFFFF"/>
        </w:rPr>
        <w:t xml:space="preserve"> </w:t>
      </w:r>
      <w:r>
        <w:t>The Data Interface Control Document (DICD) will record those parameters and decisions.</w:t>
      </w:r>
    </w:p>
    <w:p w14:paraId="3F72A4E7" w14:textId="77777777" w:rsidR="00DB15E9" w:rsidRDefault="0078312E">
      <w:pPr>
        <w:pStyle w:val="Heading3"/>
      </w:pPr>
      <w:bookmarkStart w:id="42" w:name="_Toc471910747"/>
      <w:bookmarkStart w:id="43" w:name="_Toc327253825"/>
      <w:r>
        <w:t>Data Interface</w:t>
      </w:r>
      <w:bookmarkEnd w:id="42"/>
    </w:p>
    <w:p w14:paraId="2C2D09E3" w14:textId="77777777" w:rsidR="00DB15E9" w:rsidRDefault="0078312E">
      <w:pPr>
        <w:pStyle w:val="Requirement"/>
      </w:pPr>
      <w:r>
        <w:t>The Instrument-to-Host Spacecraft data interfaces should use RS-422, SpaceWire, LVDS, or MIL-STD-1553.</w:t>
      </w:r>
    </w:p>
    <w:p w14:paraId="56E10661" w14:textId="77777777" w:rsidR="00DB15E9" w:rsidRDefault="0078312E">
      <w:pPr>
        <w:pStyle w:val="ESSPBodyText"/>
      </w:pPr>
      <w:r>
        <w:t>Rationale: RSS-422, SpaceWire, and MIL-STD-1553 are commonly accepted spacecraft data interfaces.</w:t>
      </w:r>
    </w:p>
    <w:p w14:paraId="11BEAAEE" w14:textId="77777777" w:rsidR="00DB15E9" w:rsidRDefault="0078312E">
      <w:pPr>
        <w:pStyle w:val="Heading3"/>
      </w:pPr>
      <w:bookmarkStart w:id="44" w:name="_Toc471910748"/>
      <w:r>
        <w:t>Data Accommodation</w:t>
      </w:r>
      <w:bookmarkEnd w:id="44"/>
    </w:p>
    <w:p w14:paraId="5AB03152" w14:textId="77777777" w:rsidR="00DB15E9" w:rsidRDefault="0078312E">
      <w:pPr>
        <w:pStyle w:val="Requirement"/>
      </w:pPr>
      <w:r>
        <w:t>The Instrument should transmit less than 10 Mbps of data on average to the Host Spacecraft.</w:t>
      </w:r>
      <w:r>
        <w:rPr>
          <w:rFonts w:cs="Arial"/>
          <w:shd w:val="clear" w:color="auto" w:fill="FFFFFF"/>
        </w:rPr>
        <w:t xml:space="preserve"> </w:t>
      </w:r>
      <w:r>
        <w:t>Data may be transmitted periodically in bursts of up to 100 Mbps.</w:t>
      </w:r>
    </w:p>
    <w:p w14:paraId="3460EDDB" w14:textId="77777777" w:rsidR="00DB15E9" w:rsidRDefault="0078312E">
      <w:pPr>
        <w:pStyle w:val="ESSPBodyText"/>
      </w:pPr>
      <w:r>
        <w:t>Rationale: CII analysis of the NICM Database shows 10 Mbps to be the upper bound for instruments likely to find rides as LEO hosted payloads.</w:t>
      </w:r>
      <w:r>
        <w:rPr>
          <w:rFonts w:cs="Arial"/>
          <w:shd w:val="clear" w:color="auto" w:fill="FFFFFF"/>
        </w:rPr>
        <w:t xml:space="preserve"> </w:t>
      </w:r>
      <w:r>
        <w:t>Many spacecraft data buses are run at signaling rates that can accommodate more than 10 Mbps.</w:t>
      </w:r>
      <w:r>
        <w:rPr>
          <w:rFonts w:cs="Arial"/>
          <w:shd w:val="clear" w:color="auto" w:fill="FFFFFF"/>
        </w:rPr>
        <w:t xml:space="preserve"> </w:t>
      </w:r>
      <w:r>
        <w:t>While this additional capacity is often used to share bandwidth among multiple payloads, it may also be used for periodic burst transmission when negotiated with the Host Spacecraft Providers and/or Operators.</w:t>
      </w:r>
      <w:r>
        <w:rPr>
          <w:rFonts w:cs="Arial"/>
          <w:shd w:val="clear" w:color="auto" w:fill="FFFFFF"/>
        </w:rPr>
        <w:t xml:space="preserve"> </w:t>
      </w:r>
      <w:r>
        <w:t xml:space="preserve">When sizing Instrument data volume, two considerations are key: 1) The Instrument should not assume the Host Spacecraft will provide any data storage (see guideline </w:t>
      </w:r>
      <w:r>
        <w:rPr>
          <w:rStyle w:val="ESSPBodyTextChar"/>
        </w:rPr>
        <w:fldChar w:fldCharType="begin"/>
      </w:r>
      <w:r>
        <w:rPr>
          <w:rStyle w:val="ESSPBodyTextChar"/>
        </w:rPr>
        <w:instrText xml:space="preserve"> REF _Ref212800365 \r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2.6.10</w:t>
      </w:r>
      <w:r>
        <w:rPr>
          <w:rStyle w:val="ESSPBodyTextChar"/>
        </w:rPr>
        <w:fldChar w:fldCharType="end"/>
      </w:r>
      <w:r>
        <w:t>), and 2) LEO downlink data rates vary considerably depending upon the antenna frequencies employed (</w:t>
      </w:r>
      <w:r>
        <w:rPr>
          <w:i/>
        </w:rPr>
        <w:t>e.g.</w:t>
      </w:r>
      <w:r>
        <w:t xml:space="preserve"> S-Band is limited to 2 Mbps while X-Band and Ka-Band may accommodate 100 Mbps or more).</w:t>
      </w:r>
    </w:p>
    <w:p w14:paraId="0591C6F3" w14:textId="77777777" w:rsidR="00DB15E9" w:rsidRDefault="0078312E">
      <w:pPr>
        <w:pStyle w:val="Heading3"/>
      </w:pPr>
      <w:bookmarkStart w:id="45" w:name="_Toc471910749"/>
      <w:bookmarkEnd w:id="43"/>
      <w:r>
        <w:t>Command Dictionary</w:t>
      </w:r>
      <w:bookmarkEnd w:id="45"/>
    </w:p>
    <w:p w14:paraId="448A0A54" w14:textId="77777777" w:rsidR="00DB15E9" w:rsidRDefault="0078312E">
      <w:pPr>
        <w:pStyle w:val="Requirement"/>
      </w:pPr>
      <w:r>
        <w:t>The Instrument Provider should provide a command dictionary to the Host Spacecraft Manufacturer, the format and detail of which will be negotiated with the Host Spacecraft Manufacturer.</w:t>
      </w:r>
    </w:p>
    <w:p w14:paraId="7EBB1F3D" w14:textId="77777777" w:rsidR="00DB15E9" w:rsidRDefault="0078312E">
      <w:pPr>
        <w:pStyle w:val="ESSPBodyText"/>
      </w:pPr>
      <w:r>
        <w:t>Rationale: Best practice and consistent with DICD.</w:t>
      </w:r>
      <w:r>
        <w:rPr>
          <w:rFonts w:cs="Arial"/>
          <w:shd w:val="clear" w:color="auto" w:fill="FFFFFF"/>
        </w:rPr>
        <w:t xml:space="preserve"> </w:t>
      </w:r>
      <w:r>
        <w:t xml:space="preserve">A command dictionary defines all instrument commands in detail, by describing the command, including purpose, preconditions, possible </w:t>
      </w:r>
      <w:r>
        <w:lastRenderedPageBreak/>
        <w:t>restrictions on use, command arguments and data types (including units of measure, if applicable), and expected results (</w:t>
      </w:r>
      <w:r>
        <w:rPr>
          <w:i/>
        </w:rPr>
        <w:t>e.g.</w:t>
      </w:r>
      <w:r>
        <w:t xml:space="preserve"> hardware actuation and/or responses in telemetry) in both nominal and off-nominal cases.</w:t>
      </w:r>
      <w:r>
        <w:rPr>
          <w:rFonts w:cs="Arial"/>
          <w:shd w:val="clear" w:color="auto" w:fill="FFFFFF"/>
        </w:rPr>
        <w:t xml:space="preserve"> </w:t>
      </w:r>
      <w:r>
        <w:t>Depending on the level of detail required, a command dictionary may also cover binary formats (</w:t>
      </w:r>
      <w:r>
        <w:rPr>
          <w:i/>
        </w:rPr>
        <w:t>e.g</w:t>
      </w:r>
      <w:r>
        <w:t xml:space="preserve">. packets, opcodes, </w:t>
      </w:r>
      <w:r>
        <w:rPr>
          <w:i/>
        </w:rPr>
        <w:t>etc</w:t>
      </w:r>
      <w:r>
        <w:t>.).</w:t>
      </w:r>
    </w:p>
    <w:p w14:paraId="6BAA687C" w14:textId="77777777" w:rsidR="00DB15E9" w:rsidRDefault="0078312E">
      <w:pPr>
        <w:pStyle w:val="Heading3"/>
      </w:pPr>
      <w:bookmarkStart w:id="46" w:name="_Toc471910750"/>
      <w:r>
        <w:t>Telemetry Dictionary</w:t>
      </w:r>
      <w:bookmarkEnd w:id="46"/>
    </w:p>
    <w:p w14:paraId="03774AAC" w14:textId="77777777" w:rsidR="00DB15E9" w:rsidRDefault="0078312E">
      <w:pPr>
        <w:rPr>
          <w:rFonts w:ascii="Times New Roman" w:hAnsi="Times New Roman"/>
          <w:b/>
        </w:rPr>
      </w:pPr>
      <w:r>
        <w:rPr>
          <w:rFonts w:ascii="Times New Roman" w:hAnsi="Times New Roman"/>
          <w:b/>
        </w:rPr>
        <w:t>The Instrument Provider should provide a telemetry dictionary to the Host Spacecraft Manufacturer, the format and detail of which will be negotiated with the Host Spacecraft Manufacturer.</w:t>
      </w:r>
    </w:p>
    <w:p w14:paraId="12785213" w14:textId="77777777" w:rsidR="00DB15E9" w:rsidRDefault="0078312E">
      <w:pPr>
        <w:pStyle w:val="ESSPBodyText"/>
      </w:pPr>
      <w:r>
        <w:t>Rationale:</w:t>
      </w:r>
      <w:r>
        <w:rPr>
          <w:rFonts w:cs="Arial"/>
          <w:shd w:val="clear" w:color="auto" w:fill="FFFFFF"/>
        </w:rPr>
        <w:t xml:space="preserve"> </w:t>
      </w:r>
      <w:r>
        <w:t>Best practice and consistent with DICD.</w:t>
      </w:r>
      <w:r>
        <w:rPr>
          <w:rFonts w:cs="Arial"/>
          <w:shd w:val="clear" w:color="auto" w:fill="FFFFFF"/>
        </w:rPr>
        <w:t xml:space="preserve"> </w:t>
      </w:r>
      <w:r>
        <w:t>A telemetry dictionary defines all information reported by the instrument in detail, by describing the data type, units of measure, and expected frequency of each measured or derived value.</w:t>
      </w:r>
      <w:r>
        <w:rPr>
          <w:rFonts w:cs="Arial"/>
          <w:shd w:val="clear" w:color="auto" w:fill="FFFFFF"/>
        </w:rPr>
        <w:t xml:space="preserve"> </w:t>
      </w:r>
      <w:r>
        <w:t>If telemetry is multiplexed or otherwise encoded (</w:t>
      </w:r>
      <w:r>
        <w:rPr>
          <w:i/>
        </w:rPr>
        <w:t xml:space="preserve">e.g. </w:t>
      </w:r>
      <w:r>
        <w:t>into virtual channels), the telemetry dictionary will also describe decommutation procedures which may include software or algorithms.</w:t>
      </w:r>
      <w:r>
        <w:rPr>
          <w:rFonts w:cs="Arial"/>
          <w:shd w:val="clear" w:color="auto" w:fill="FFFFFF"/>
        </w:rPr>
        <w:t xml:space="preserve"> </w:t>
      </w:r>
      <w:r>
        <w:t>By their nature, telemetry dictionaries often detail binary packet formats.</w:t>
      </w:r>
    </w:p>
    <w:p w14:paraId="2CF14F1D" w14:textId="77777777" w:rsidR="00DB15E9" w:rsidRDefault="0078312E">
      <w:pPr>
        <w:pStyle w:val="Heading3"/>
      </w:pPr>
      <w:bookmarkStart w:id="47" w:name="_Toc471910751"/>
      <w:r>
        <w:t>Safe mode</w:t>
      </w:r>
      <w:bookmarkEnd w:id="47"/>
    </w:p>
    <w:p w14:paraId="4074C574" w14:textId="77777777" w:rsidR="00DB15E9" w:rsidRDefault="0078312E">
      <w:pPr>
        <w:pStyle w:val="Requirement"/>
      </w:pPr>
      <w:r>
        <w:t>The Instrument should provide a SAFE mode.</w:t>
      </w:r>
    </w:p>
    <w:p w14:paraId="5AC7DCA3" w14:textId="77777777" w:rsidR="00DB15E9" w:rsidRDefault="0078312E">
      <w:pPr>
        <w:pStyle w:val="ESSPBodyText"/>
      </w:pPr>
      <w:r>
        <w:t>The Instrument Safe mode is a combined Instrument hardware and software configuration meant to protect the Instrument from possible internal or external harm while making minimal use of Host Spacecraft resources (</w:t>
      </w:r>
      <w:r>
        <w:rPr>
          <w:i/>
        </w:rPr>
        <w:t>e.g.</w:t>
      </w:r>
      <w:r>
        <w:t xml:space="preserve"> power).</w:t>
      </w:r>
    </w:p>
    <w:p w14:paraId="40684FD4" w14:textId="77777777" w:rsidR="00DB15E9" w:rsidRDefault="0078312E">
      <w:pPr>
        <w:pStyle w:val="ESSPBodyText"/>
      </w:pPr>
      <w:r>
        <w:t>Note: Please see Appendix D for a discussion of the notional instrument mode scheme referenced in this document.</w:t>
      </w:r>
    </w:p>
    <w:p w14:paraId="7CCB4018" w14:textId="77777777" w:rsidR="00DB15E9" w:rsidRDefault="0078312E">
      <w:pPr>
        <w:pStyle w:val="Heading3"/>
      </w:pPr>
      <w:bookmarkStart w:id="48" w:name="_Toc471910752"/>
      <w:r>
        <w:t>Command (SAFE mode)</w:t>
      </w:r>
      <w:bookmarkEnd w:id="48"/>
    </w:p>
    <w:p w14:paraId="1C66CEE2" w14:textId="77777777" w:rsidR="00DB15E9" w:rsidRDefault="0078312E">
      <w:pPr>
        <w:pStyle w:val="Requirement"/>
      </w:pPr>
      <w:r>
        <w:t>The Instrument should enter SAFE mode when commanded either directly by the Host Spacecraft or via ground operator command.</w:t>
      </w:r>
    </w:p>
    <w:p w14:paraId="2F1B78D0" w14:textId="77777777" w:rsidR="00DB15E9" w:rsidRDefault="0078312E">
      <w:pPr>
        <w:pStyle w:val="ESSPBodyText"/>
      </w:pPr>
      <w:r>
        <w:t>Rationale: The ability to put the Instrument into SAFE mode protects and preserves both the Instrument and the Host Spacecraft under anomalous and resource constrained conditions.</w:t>
      </w:r>
    </w:p>
    <w:p w14:paraId="4BF68CB1" w14:textId="77777777" w:rsidR="00DB15E9" w:rsidRDefault="0078312E">
      <w:pPr>
        <w:pStyle w:val="Heading3"/>
      </w:pPr>
      <w:bookmarkStart w:id="49" w:name="_Toc471910753"/>
      <w:r>
        <w:t>Command (Data Flow Control)</w:t>
      </w:r>
      <w:bookmarkEnd w:id="49"/>
    </w:p>
    <w:p w14:paraId="4C8046EE" w14:textId="77777777" w:rsidR="00DB15E9" w:rsidRDefault="0078312E">
      <w:pPr>
        <w:pStyle w:val="Requirement"/>
      </w:pPr>
      <w:r>
        <w:t>The Instrument should respond to commands to suspend and resume the transmission of Instrument telemetry and Instrument science data.</w:t>
      </w:r>
    </w:p>
    <w:p w14:paraId="702DF020" w14:textId="77777777" w:rsidR="00DB15E9" w:rsidRDefault="0078312E">
      <w:pPr>
        <w:pStyle w:val="ESSPBodyText"/>
      </w:pPr>
      <w:r>
        <w:t>Rationale: Data flow control allows the Host Spacecraft Manufacturer, Satellite Operator, and ground operations team to devise and operate Fault Detection Isolation, and Recovery (FDIR) procedures, crucial for on-orbit operations.</w:t>
      </w:r>
    </w:p>
    <w:p w14:paraId="2D61E965" w14:textId="77777777" w:rsidR="00DB15E9" w:rsidRDefault="0078312E">
      <w:pPr>
        <w:pStyle w:val="Heading3"/>
      </w:pPr>
      <w:bookmarkStart w:id="50" w:name="_Toc471910754"/>
      <w:r>
        <w:t>Command (Acknowledgement)</w:t>
      </w:r>
      <w:bookmarkEnd w:id="50"/>
    </w:p>
    <w:p w14:paraId="2043A594" w14:textId="77777777" w:rsidR="00DB15E9" w:rsidRDefault="0078312E">
      <w:pPr>
        <w:pStyle w:val="Requirement"/>
      </w:pPr>
      <w:r>
        <w:t>The Instrument should acknowledge the receipt of all commands, in its telemetry.</w:t>
      </w:r>
    </w:p>
    <w:p w14:paraId="5E33E918" w14:textId="77777777" w:rsidR="00DB15E9" w:rsidRDefault="0078312E">
      <w:pPr>
        <w:pStyle w:val="ESSPBodyText"/>
      </w:pPr>
      <w:r>
        <w:t>Rationale: Command acknowledgement allows the Host Spacecraft Manufacturer, Satellite Operator, and ground operations team to devise and operate FDIR procedures, crucial for on-orbit operations.</w:t>
      </w:r>
    </w:p>
    <w:p w14:paraId="08821EC1" w14:textId="77777777" w:rsidR="00DB15E9" w:rsidRDefault="0078312E">
      <w:pPr>
        <w:pStyle w:val="Heading3"/>
      </w:pPr>
      <w:bookmarkStart w:id="51" w:name="_Ref212800365"/>
      <w:bookmarkStart w:id="52" w:name="_Toc471910755"/>
      <w:bookmarkStart w:id="53" w:name="_Toc297095686"/>
      <w:r>
        <w:lastRenderedPageBreak/>
        <w:t>Onboard Science Data Storage</w:t>
      </w:r>
      <w:bookmarkEnd w:id="51"/>
      <w:bookmarkEnd w:id="52"/>
    </w:p>
    <w:p w14:paraId="02E28E36" w14:textId="77777777" w:rsidR="00DB15E9" w:rsidRDefault="0078312E">
      <w:pPr>
        <w:pStyle w:val="Requirement"/>
      </w:pPr>
      <w:r>
        <w:t>The Instrument should be responsible for its own science data onboard storage capabilities.</w:t>
      </w:r>
    </w:p>
    <w:p w14:paraId="487654A8" w14:textId="77777777" w:rsidR="00DB15E9" w:rsidRDefault="0078312E">
      <w:pPr>
        <w:pStyle w:val="ESSPBodyText"/>
        <w:rPr>
          <w:rFonts w:asciiTheme="majorHAnsi" w:hAnsiTheme="majorHAnsi" w:cstheme="majorHAnsi"/>
        </w:rPr>
      </w:pPr>
      <w:r>
        <w:t>Rationale: Buffering all data on the Instrument imposes no storage capacity requirements on the Host Spacecraft. A spacecraft needs only enough buffer capacity to relay Instrument telemetry.</w:t>
      </w:r>
      <w:r>
        <w:rPr>
          <w:rFonts w:cs="Arial"/>
          <w:shd w:val="clear" w:color="auto" w:fill="FFFFFF"/>
        </w:rPr>
        <w:t xml:space="preserve"> </w:t>
      </w:r>
      <w:r>
        <w:t>Fewer resource impacts on the spacecraft maximize Instrument hosting opportunities.</w:t>
      </w:r>
      <w:bookmarkEnd w:id="53"/>
    </w:p>
    <w:p w14:paraId="7E9A7CDC" w14:textId="77777777" w:rsidR="00DB15E9" w:rsidRDefault="0078312E">
      <w:pPr>
        <w:pStyle w:val="Heading2"/>
      </w:pPr>
      <w:bookmarkStart w:id="54" w:name="_Toc471910756"/>
      <w:r>
        <w:t>Electrical Power System Guidelines</w:t>
      </w:r>
      <w:bookmarkEnd w:id="54"/>
      <w:r>
        <w:t xml:space="preserve"> </w:t>
      </w:r>
    </w:p>
    <w:p w14:paraId="07B4EDE0" w14:textId="77777777" w:rsidR="00DB15E9" w:rsidRDefault="0078312E">
      <w:pPr>
        <w:pStyle w:val="Heading3"/>
      </w:pPr>
      <w:bookmarkStart w:id="55" w:name="_Toc326129265"/>
      <w:bookmarkStart w:id="56" w:name="_Ref207358359"/>
      <w:bookmarkStart w:id="57" w:name="_Toc471910757"/>
      <w:bookmarkStart w:id="58" w:name="_Toc296337876"/>
      <w:bookmarkStart w:id="59" w:name="_Toc298054660"/>
      <w:r>
        <w:t>Assumptions</w:t>
      </w:r>
      <w:bookmarkEnd w:id="55"/>
      <w:bookmarkEnd w:id="56"/>
      <w:bookmarkEnd w:id="57"/>
    </w:p>
    <w:p w14:paraId="431657DB" w14:textId="77777777" w:rsidR="00DB15E9" w:rsidRDefault="0078312E">
      <w:pPr>
        <w:pStyle w:val="ESSPBodyText"/>
      </w:pPr>
      <w:r>
        <w:t>The HPIG electrical power guidelines assume the following regarding the Host Spacecraft:</w:t>
      </w:r>
    </w:p>
    <w:p w14:paraId="4B355036" w14:textId="77777777" w:rsidR="00DB15E9" w:rsidRDefault="0078312E">
      <w:pPr>
        <w:pStyle w:val="ESSPNumberedList"/>
        <w:numPr>
          <w:ilvl w:val="0"/>
          <w:numId w:val="6"/>
        </w:numPr>
      </w:pPr>
      <w:r>
        <w:t>During the pairing process, the Host Spacecraft Manufacturer/Systems Integrator and the Instrument Developer will negotiate detailed parameters of the electrical power interface.</w:t>
      </w:r>
      <w:r>
        <w:rPr>
          <w:rFonts w:cs="Arial"/>
          <w:shd w:val="clear" w:color="auto" w:fill="FFFFFF"/>
        </w:rPr>
        <w:t xml:space="preserve"> </w:t>
      </w:r>
      <w:r>
        <w:t>The Electrical Power Interface Control Document (EICD) will record those parameters and decisions.</w:t>
      </w:r>
    </w:p>
    <w:p w14:paraId="575317C9" w14:textId="77777777" w:rsidR="00DB15E9" w:rsidRDefault="0078312E">
      <w:pPr>
        <w:pStyle w:val="ESSPNumberedList"/>
      </w:pPr>
      <w:r>
        <w:t xml:space="preserve">The Host Spacecraft will supply to the Instrument EPS unregulated (sun regulated) electrical power within the range of 28 </w:t>
      </w:r>
      <w:r>
        <w:rPr>
          <w:rFonts w:ascii="Calibri" w:hAnsi="Calibri" w:cs="Calibri"/>
        </w:rPr>
        <w:t>±</w:t>
      </w:r>
      <w:r>
        <w:t>6 VDC, including ripple and normal transients as defined below, and power distribution losses due to switching, fusing, harness and connectors.</w:t>
      </w:r>
    </w:p>
    <w:p w14:paraId="29C450A3" w14:textId="77777777" w:rsidR="00DB15E9" w:rsidRDefault="0078312E">
      <w:pPr>
        <w:pStyle w:val="ESSPNumberedList"/>
      </w:pPr>
      <w:r>
        <w:t xml:space="preserve"> The Host Spacecraft will provide connections to 100W (Orbital Average Power: OAP) power buses as well as a dedicated bus to power the Instrument’s survival heaters. </w:t>
      </w:r>
    </w:p>
    <w:p w14:paraId="6B565627" w14:textId="77777777" w:rsidR="00DB15E9" w:rsidRDefault="0078312E">
      <w:pPr>
        <w:pStyle w:val="ESSPNumberedList"/>
      </w:pPr>
      <w:r>
        <w:t>The Host Spacecraft will energize the Survival Heater Power Bus at approximately 30% (or possibly higher, as negotiated with the host provider) of the OAP in accordance with the mission timeline documented in the EICD.</w:t>
      </w:r>
    </w:p>
    <w:p w14:paraId="6A34074F" w14:textId="77777777" w:rsidR="00DB15E9" w:rsidRDefault="0078312E">
      <w:pPr>
        <w:pStyle w:val="ESSPNumberedList"/>
      </w:pPr>
      <w:r>
        <w:t>The Host Spacecraft Manufacturer will supply a definition of the maximum source impedance by frequency band.</w:t>
      </w:r>
      <w:r>
        <w:rPr>
          <w:rFonts w:cs="Arial"/>
          <w:shd w:val="clear" w:color="auto" w:fill="FFFFFF"/>
        </w:rPr>
        <w:t xml:space="preserve"> </w:t>
      </w:r>
      <w:r>
        <w:rPr>
          <w:rStyle w:val="ESSPBodyTextChar"/>
        </w:rPr>
        <w:fldChar w:fldCharType="begin"/>
      </w:r>
      <w:r>
        <w:rPr>
          <w:rStyle w:val="ESSPBodyTextChar"/>
        </w:rPr>
        <w:instrText xml:space="preserve"> REF _Ref327178976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Table 2</w:t>
      </w:r>
      <w:r>
        <w:rPr>
          <w:rStyle w:val="ESSPBodyTextChar"/>
        </w:rPr>
        <w:noBreakHyphen/>
        <w:t>1</w:t>
      </w:r>
      <w:r>
        <w:rPr>
          <w:rStyle w:val="ESSPBodyTextChar"/>
        </w:rPr>
        <w:fldChar w:fldCharType="end"/>
      </w:r>
      <w:r>
        <w:rPr>
          <w:rFonts w:asciiTheme="majorHAnsi" w:hAnsiTheme="majorHAnsi" w:cstheme="majorHAnsi"/>
        </w:rPr>
        <w:t xml:space="preserve"> </w:t>
      </w:r>
      <w:r>
        <w:t>provides an example of this definition.</w:t>
      </w:r>
    </w:p>
    <w:p w14:paraId="69094653" w14:textId="77777777" w:rsidR="00DB15E9" w:rsidRDefault="0078312E">
      <w:pPr>
        <w:pStyle w:val="ESSPNumberedList"/>
      </w:pPr>
      <w:r>
        <w:t>The Host Spacecraft Manufacturer will furnish all Host Spacecraft and Host Spacecraft-to-Instrument harnessing.</w:t>
      </w:r>
    </w:p>
    <w:p w14:paraId="23DBDC2F" w14:textId="77777777" w:rsidR="00DB15E9" w:rsidRDefault="0078312E">
      <w:pPr>
        <w:pStyle w:val="ESSPNumberedList"/>
      </w:pPr>
      <w:r>
        <w:t>The Host Spacecraft will deliver Instrument power via twisted conductor (pair, quad, etc.) cables with both power and return leads enclosed by an electrical overshield.</w:t>
      </w:r>
    </w:p>
    <w:p w14:paraId="449ABE7B" w14:textId="77777777" w:rsidR="00DB15E9" w:rsidRDefault="0078312E">
      <w:pPr>
        <w:pStyle w:val="ESSPNumberedList"/>
      </w:pPr>
      <w:r>
        <w:t>The Host Spacecraft will protect its own electrical power system via overcurrent protection devices on its side of the interface.</w:t>
      </w:r>
    </w:p>
    <w:p w14:paraId="7F8A527E" w14:textId="77777777" w:rsidR="00DB15E9" w:rsidRDefault="0078312E">
      <w:pPr>
        <w:pStyle w:val="ESSPNumberedList"/>
      </w:pPr>
      <w:r>
        <w:t>The Host Spacecraft will utilize the same type of overcurrent protection device, such as latching current limiters or fuses, for all connections to the Instrument.</w:t>
      </w:r>
    </w:p>
    <w:p w14:paraId="788B957E" w14:textId="77777777" w:rsidR="00DB15E9" w:rsidRDefault="0078312E">
      <w:pPr>
        <w:pStyle w:val="ESSPNumberedList"/>
      </w:pPr>
      <w:r>
        <w:t xml:space="preserve">In the event that the Host Spacecraft battery state-of-charge falls below 50%, the Host Spacecraft will power off the Instrument after placing the Instrument in </w:t>
      </w:r>
      <w:r>
        <w:rPr>
          <w:smallCaps/>
        </w:rPr>
        <w:t>Safe</w:t>
      </w:r>
      <w:r>
        <w:t xml:space="preserve"> mode.</w:t>
      </w:r>
      <w:r>
        <w:rPr>
          <w:rFonts w:cs="Arial"/>
          <w:shd w:val="clear" w:color="auto" w:fill="FFFFFF"/>
        </w:rPr>
        <w:t xml:space="preserve"> </w:t>
      </w:r>
      <w:r>
        <w:t xml:space="preserve">Instrument operations will not resume until the ground operators have determined it is safe to return to </w:t>
      </w:r>
      <w:r>
        <w:rPr>
          <w:smallCaps/>
        </w:rPr>
        <w:t>Operation</w:t>
      </w:r>
      <w:r>
        <w:t xml:space="preserve"> mode.</w:t>
      </w:r>
      <w:r>
        <w:rPr>
          <w:rFonts w:cs="Arial"/>
          <w:shd w:val="clear" w:color="auto" w:fill="FFFFFF"/>
        </w:rPr>
        <w:t xml:space="preserve"> </w:t>
      </w:r>
      <w:bookmarkStart w:id="60" w:name="OLE_LINK81"/>
      <w:bookmarkStart w:id="61" w:name="OLE_LINK82"/>
      <w:r>
        <w:t>The Host Spacecraft will continue to provide Survival Heater Power, but may remove Survival Heater Power if conditions deteriorate significantly.</w:t>
      </w:r>
      <w:bookmarkEnd w:id="60"/>
      <w:bookmarkEnd w:id="61"/>
    </w:p>
    <w:p w14:paraId="1DF30E5E" w14:textId="77777777" w:rsidR="00DB15E9" w:rsidRDefault="0078312E">
      <w:pPr>
        <w:pStyle w:val="ESSPNumberedList"/>
      </w:pPr>
      <w:r>
        <w:lastRenderedPageBreak/>
        <w:t>The Host Spacecraft will deliver a maximum transient current on any Power Feed bus of 100 percent (that is, two times the steady state current) of the maximum steady-state current for no longer than 50 ms.</w:t>
      </w:r>
    </w:p>
    <w:p w14:paraId="107AEEEA" w14:textId="77777777" w:rsidR="00DB15E9" w:rsidRDefault="0078312E">
      <w:pPr>
        <w:pStyle w:val="ESSPFigure"/>
      </w:pPr>
      <w:r>
        <w:drawing>
          <wp:inline distT="0" distB="0" distL="0" distR="0" wp14:anchorId="6032669B" wp14:editId="08972021">
            <wp:extent cx="4371340" cy="57429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340" cy="5742940"/>
                    </a:xfrm>
                    <a:prstGeom prst="rect">
                      <a:avLst/>
                    </a:prstGeom>
                    <a:noFill/>
                  </pic:spPr>
                </pic:pic>
              </a:graphicData>
            </a:graphic>
          </wp:inline>
        </w:drawing>
      </w:r>
    </w:p>
    <w:p w14:paraId="572C346A" w14:textId="77777777" w:rsidR="00DB15E9" w:rsidRDefault="0078312E">
      <w:pPr>
        <w:pStyle w:val="ESSPFigureCaption"/>
        <w:rPr>
          <w:rFonts w:ascii="Helvetica" w:hAnsi="Helvetica"/>
        </w:rPr>
      </w:pPr>
      <w:bookmarkStart w:id="62" w:name="_Ref302144440"/>
      <w:bookmarkStart w:id="63" w:name="_Toc326129326"/>
      <w:bookmarkStart w:id="64" w:name="_Toc471971582"/>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1</w:t>
      </w:r>
      <w:r>
        <w:rPr>
          <w:rFonts w:ascii="Helvetica" w:hAnsi="Helvetica"/>
        </w:rPr>
        <w:fldChar w:fldCharType="end"/>
      </w:r>
      <w:bookmarkEnd w:id="62"/>
      <w:r>
        <w:rPr>
          <w:rFonts w:ascii="Helvetica" w:hAnsi="Helvetica"/>
        </w:rPr>
        <w:t>: Host Spacecraft-Instrument Electrical Interface</w:t>
      </w:r>
      <w:bookmarkEnd w:id="63"/>
      <w:bookmarkEnd w:id="64"/>
      <w:r>
        <w:rPr>
          <w:rFonts w:ascii="Helvetica" w:hAnsi="Helvetica"/>
        </w:rPr>
        <w:t xml:space="preserve"> </w:t>
      </w:r>
    </w:p>
    <w:p w14:paraId="55E3A331" w14:textId="77777777" w:rsidR="00DB15E9" w:rsidRDefault="0078312E">
      <w:pPr>
        <w:pStyle w:val="ESSPTableCaption"/>
      </w:pPr>
      <w:bookmarkStart w:id="65" w:name="_Ref327178976"/>
      <w:bookmarkStart w:id="66" w:name="_Toc326129303"/>
      <w:bookmarkStart w:id="67" w:name="_Toc453056570"/>
      <w:bookmarkStart w:id="68" w:name="_Toc471971549"/>
      <w:r>
        <w:lastRenderedPageBreak/>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w:t>
      </w:r>
      <w:r w:rsidR="00BA5284">
        <w:rPr>
          <w:noProof/>
        </w:rPr>
        <w:fldChar w:fldCharType="end"/>
      </w:r>
      <w:bookmarkEnd w:id="65"/>
      <w:r>
        <w:t>: Example of Power Source Impedance</w:t>
      </w:r>
      <w:bookmarkEnd w:id="66"/>
      <w:r>
        <w:t xml:space="preserve"> Function</w:t>
      </w:r>
      <w:bookmarkEnd w:id="67"/>
      <w:bookmarkEnd w:id="68"/>
    </w:p>
    <w:tbl>
      <w:tblPr>
        <w:tblStyle w:val="TableGrid8"/>
        <w:tblW w:w="7546" w:type="dxa"/>
        <w:jc w:val="center"/>
        <w:tblLayout w:type="fixed"/>
        <w:tblLook w:val="0620" w:firstRow="1" w:lastRow="0" w:firstColumn="0" w:lastColumn="0" w:noHBand="1" w:noVBand="1"/>
      </w:tblPr>
      <w:tblGrid>
        <w:gridCol w:w="3503"/>
        <w:gridCol w:w="4043"/>
      </w:tblGrid>
      <w:tr w:rsidR="00DB15E9" w14:paraId="2B93CD0C" w14:textId="77777777" w:rsidTr="00DB15E9">
        <w:trPr>
          <w:cnfStyle w:val="100000000000" w:firstRow="1" w:lastRow="0" w:firstColumn="0" w:lastColumn="0" w:oddVBand="0" w:evenVBand="0" w:oddHBand="0" w:evenHBand="0" w:firstRowFirstColumn="0" w:firstRowLastColumn="0" w:lastRowFirstColumn="0" w:lastRowLastColumn="0"/>
          <w:trHeight w:val="288"/>
          <w:jc w:val="center"/>
        </w:trPr>
        <w:tc>
          <w:tcPr>
            <w:tcW w:w="3503" w:type="dxa"/>
          </w:tcPr>
          <w:p w14:paraId="18F88318" w14:textId="77777777" w:rsidR="00DB15E9" w:rsidRDefault="0078312E">
            <w:pPr>
              <w:pStyle w:val="ESSPTableText"/>
            </w:pPr>
            <w:r>
              <w:t>Frequency</w:t>
            </w:r>
          </w:p>
        </w:tc>
        <w:tc>
          <w:tcPr>
            <w:tcW w:w="4043" w:type="dxa"/>
          </w:tcPr>
          <w:p w14:paraId="10C9DF9A" w14:textId="77777777" w:rsidR="00DB15E9" w:rsidRDefault="0078312E">
            <w:pPr>
              <w:pStyle w:val="ESSPTableText"/>
            </w:pPr>
            <w:r>
              <w:t>Maximum Source Impedance [Ω]</w:t>
            </w:r>
          </w:p>
        </w:tc>
      </w:tr>
      <w:tr w:rsidR="00DB15E9" w14:paraId="00A786CF" w14:textId="77777777" w:rsidTr="00DB15E9">
        <w:trPr>
          <w:trHeight w:val="288"/>
          <w:jc w:val="center"/>
        </w:trPr>
        <w:tc>
          <w:tcPr>
            <w:tcW w:w="3503" w:type="dxa"/>
          </w:tcPr>
          <w:p w14:paraId="602DFE61" w14:textId="77777777" w:rsidR="00DB15E9" w:rsidRDefault="0078312E">
            <w:pPr>
              <w:pStyle w:val="ESSPTableText"/>
            </w:pPr>
            <w:r>
              <w:t>1 Hz to 1 kHz</w:t>
            </w:r>
          </w:p>
        </w:tc>
        <w:tc>
          <w:tcPr>
            <w:tcW w:w="4043" w:type="dxa"/>
          </w:tcPr>
          <w:p w14:paraId="5F84B1D8" w14:textId="77777777" w:rsidR="00DB15E9" w:rsidRDefault="0078312E">
            <w:pPr>
              <w:pStyle w:val="ESSPTableText"/>
            </w:pPr>
            <w:r>
              <w:t xml:space="preserve">0.2 </w:t>
            </w:r>
          </w:p>
        </w:tc>
      </w:tr>
      <w:tr w:rsidR="00DB15E9" w14:paraId="0FABDDAA" w14:textId="77777777" w:rsidTr="00DB15E9">
        <w:trPr>
          <w:trHeight w:val="288"/>
          <w:jc w:val="center"/>
        </w:trPr>
        <w:tc>
          <w:tcPr>
            <w:tcW w:w="3503" w:type="dxa"/>
          </w:tcPr>
          <w:p w14:paraId="35EB76C9" w14:textId="77777777" w:rsidR="00DB15E9" w:rsidRDefault="0078312E">
            <w:pPr>
              <w:pStyle w:val="ESSPTableText"/>
            </w:pPr>
            <w:r>
              <w:t>1 kHz to 20 kHz</w:t>
            </w:r>
          </w:p>
        </w:tc>
        <w:tc>
          <w:tcPr>
            <w:tcW w:w="4043" w:type="dxa"/>
          </w:tcPr>
          <w:p w14:paraId="2538D0B8" w14:textId="77777777" w:rsidR="00DB15E9" w:rsidRDefault="0078312E">
            <w:pPr>
              <w:pStyle w:val="ESSPTableText"/>
            </w:pPr>
            <w:r>
              <w:t>1.0</w:t>
            </w:r>
          </w:p>
        </w:tc>
      </w:tr>
      <w:tr w:rsidR="00DB15E9" w14:paraId="24C52F13" w14:textId="77777777" w:rsidTr="00DB15E9">
        <w:trPr>
          <w:trHeight w:val="85"/>
          <w:jc w:val="center"/>
        </w:trPr>
        <w:tc>
          <w:tcPr>
            <w:tcW w:w="3503" w:type="dxa"/>
          </w:tcPr>
          <w:p w14:paraId="4F638CC9" w14:textId="77777777" w:rsidR="00DB15E9" w:rsidRDefault="0078312E">
            <w:pPr>
              <w:pStyle w:val="ESSPTableText"/>
            </w:pPr>
            <w:r>
              <w:t>20 kHz to 100 kHz</w:t>
            </w:r>
          </w:p>
        </w:tc>
        <w:tc>
          <w:tcPr>
            <w:tcW w:w="4043" w:type="dxa"/>
          </w:tcPr>
          <w:p w14:paraId="391CE68B" w14:textId="77777777" w:rsidR="00DB15E9" w:rsidRDefault="0078312E">
            <w:pPr>
              <w:pStyle w:val="ESSPTableText"/>
            </w:pPr>
            <w:r>
              <w:t>2.0</w:t>
            </w:r>
          </w:p>
        </w:tc>
      </w:tr>
      <w:tr w:rsidR="00DB15E9" w14:paraId="20492564" w14:textId="77777777" w:rsidTr="00DB15E9">
        <w:trPr>
          <w:trHeight w:val="288"/>
          <w:jc w:val="center"/>
        </w:trPr>
        <w:tc>
          <w:tcPr>
            <w:tcW w:w="3503" w:type="dxa"/>
          </w:tcPr>
          <w:p w14:paraId="3BABB7CE" w14:textId="77777777" w:rsidR="00DB15E9" w:rsidRDefault="0078312E">
            <w:pPr>
              <w:pStyle w:val="ESSPTableText"/>
            </w:pPr>
            <w:r>
              <w:t>100 kHz to 10 MHz</w:t>
            </w:r>
          </w:p>
        </w:tc>
        <w:tc>
          <w:tcPr>
            <w:tcW w:w="4043" w:type="dxa"/>
          </w:tcPr>
          <w:p w14:paraId="45B733C0" w14:textId="77777777" w:rsidR="00DB15E9" w:rsidRDefault="0078312E">
            <w:pPr>
              <w:pStyle w:val="ESSPTableText"/>
            </w:pPr>
            <w:r>
              <w:t>20.0</w:t>
            </w:r>
          </w:p>
        </w:tc>
      </w:tr>
    </w:tbl>
    <w:p w14:paraId="312C4299" w14:textId="77777777" w:rsidR="00DB15E9" w:rsidRDefault="0078312E">
      <w:pPr>
        <w:pStyle w:val="Heading3"/>
      </w:pPr>
      <w:bookmarkStart w:id="69" w:name="_Toc471910758"/>
      <w:bookmarkEnd w:id="58"/>
      <w:bookmarkEnd w:id="59"/>
      <w:r>
        <w:t>Grounding</w:t>
      </w:r>
      <w:bookmarkEnd w:id="69"/>
    </w:p>
    <w:p w14:paraId="0A03B62F" w14:textId="77777777" w:rsidR="00DB15E9" w:rsidRDefault="0078312E">
      <w:pPr>
        <w:pStyle w:val="Requirement"/>
      </w:pPr>
      <w:r>
        <w:t>The Instrument should electrically ground to a single point on the Host Spacecraft.</w:t>
      </w:r>
    </w:p>
    <w:p w14:paraId="4B70F14E" w14:textId="77777777" w:rsidR="00DB15E9" w:rsidRDefault="0078312E">
      <w:pPr>
        <w:pStyle w:val="ESSPBodyText"/>
      </w:pPr>
      <w:r>
        <w:t xml:space="preserve">Rationale: The Instrument Electrical Power </w:t>
      </w:r>
      <w:bookmarkStart w:id="70" w:name="y"/>
      <w:bookmarkEnd w:id="70"/>
      <w:r>
        <w:t>System (EPS) should ground in a way that reduces the potential to introduce stray currents or ground loop currents into the Instrument, Host Spacecraft, or other payloads.</w:t>
      </w:r>
    </w:p>
    <w:p w14:paraId="46E61B12" w14:textId="77777777" w:rsidR="00DB15E9" w:rsidRDefault="0078312E">
      <w:pPr>
        <w:pStyle w:val="Heading4"/>
      </w:pPr>
      <w:bookmarkStart w:id="71" w:name="_Toc471910759"/>
      <w:r>
        <w:t>Grounding Documentation</w:t>
      </w:r>
      <w:bookmarkEnd w:id="71"/>
    </w:p>
    <w:p w14:paraId="04A9644C" w14:textId="77777777" w:rsidR="00DB15E9" w:rsidRDefault="0078312E">
      <w:pPr>
        <w:pStyle w:val="Requirement"/>
      </w:pPr>
      <w:r>
        <w:t>The EICD will document how the Instrument will ground to the Host Spacecraft.</w:t>
      </w:r>
    </w:p>
    <w:p w14:paraId="71797A85" w14:textId="77777777" w:rsidR="00DB15E9" w:rsidRDefault="0078312E">
      <w:pPr>
        <w:pStyle w:val="ESSPBodyText"/>
      </w:pPr>
      <w:r>
        <w:t>Rationale: It is necessary to define and document the Instrument to Host Spacecraft grounding interface architecture.</w:t>
      </w:r>
    </w:p>
    <w:p w14:paraId="5C5E2206" w14:textId="77777777" w:rsidR="00DB15E9" w:rsidRDefault="0078312E">
      <w:pPr>
        <w:pStyle w:val="Heading3"/>
      </w:pPr>
      <w:bookmarkStart w:id="72" w:name="_Toc471910760"/>
      <w:r>
        <w:t>Power Return</w:t>
      </w:r>
      <w:bookmarkEnd w:id="72"/>
      <w:r>
        <w:t xml:space="preserve"> </w:t>
      </w:r>
    </w:p>
    <w:p w14:paraId="224C14A0" w14:textId="77777777" w:rsidR="00DB15E9" w:rsidRDefault="0078312E">
      <w:pPr>
        <w:pStyle w:val="Requirement"/>
      </w:pPr>
      <w:r>
        <w:t>The Instrument electrical power return should be via dedicated return line</w:t>
      </w:r>
    </w:p>
    <w:p w14:paraId="5BC00CCC" w14:textId="77777777" w:rsidR="00DB15E9" w:rsidRDefault="0078312E">
      <w:pPr>
        <w:pStyle w:val="ESSPBodyText"/>
      </w:pPr>
      <w:r>
        <w:t>Rationale: The Instrument Electrical Power System (EPS) should return electrical power via electrical harness or ground strap to reduce the potential to introduce stray currents or ground loop currents into the Instrument, Host Spacecraft, or other payloads.</w:t>
      </w:r>
    </w:p>
    <w:p w14:paraId="71B7E3AB" w14:textId="77777777" w:rsidR="00DB15E9" w:rsidRDefault="0078312E">
      <w:pPr>
        <w:pStyle w:val="Heading3"/>
      </w:pPr>
      <w:bookmarkStart w:id="73" w:name="_Toc471910761"/>
      <w:r>
        <w:t>Power Supply Voltage</w:t>
      </w:r>
      <w:bookmarkEnd w:id="73"/>
    </w:p>
    <w:p w14:paraId="36A61719" w14:textId="77777777" w:rsidR="00DB15E9" w:rsidRDefault="0078312E">
      <w:pPr>
        <w:pStyle w:val="Requirement"/>
      </w:pPr>
      <w:r>
        <w:t xml:space="preserve"> The Instrument EPS should accept an unregulated input voltage of 28 ± 6 VDC.</w:t>
      </w:r>
    </w:p>
    <w:p w14:paraId="1CD0FD37" w14:textId="77777777" w:rsidR="00DB15E9" w:rsidRDefault="0078312E">
      <w:pPr>
        <w:pStyle w:val="ESSPBodyText"/>
      </w:pPr>
      <w:r>
        <w:t>Rationale: The EPS architecture is consistent across LEO spacecraft bus manufacturers with the available nominal voltage being 28 Volts Direct Current (VDC) in an unregulated (sun regulated) configuration.</w:t>
      </w:r>
    </w:p>
    <w:p w14:paraId="188EE65F" w14:textId="77777777" w:rsidR="00DB15E9" w:rsidRDefault="0078312E">
      <w:pPr>
        <w:pStyle w:val="Heading3"/>
      </w:pPr>
      <w:bookmarkStart w:id="74" w:name="_Toc471910762"/>
      <w:r>
        <w:t>Power Bus Interface</w:t>
      </w:r>
      <w:bookmarkEnd w:id="74"/>
    </w:p>
    <w:p w14:paraId="3D28979D" w14:textId="77777777" w:rsidR="00DB15E9" w:rsidRDefault="0078312E">
      <w:pPr>
        <w:pStyle w:val="Requirement"/>
      </w:pPr>
      <w:r>
        <w:t>The EPS should provide nominal power to each Instrument component via one or both of the Power Buses.</w:t>
      </w:r>
    </w:p>
    <w:p w14:paraId="594D385A" w14:textId="77777777" w:rsidR="00DB15E9" w:rsidRDefault="0078312E">
      <w:pPr>
        <w:pStyle w:val="ESSPNumberedList"/>
      </w:pPr>
      <w:r>
        <w:t>Rationale: The Power Buses supply the electrical power for the Instrument to conduct normal operations.</w:t>
      </w:r>
      <w:r>
        <w:rPr>
          <w:rFonts w:cs="Arial"/>
          <w:shd w:val="clear" w:color="auto" w:fill="FFFFFF"/>
        </w:rPr>
        <w:t xml:space="preserve"> </w:t>
      </w:r>
      <w:r>
        <w:t>Depending on the load, a component may connect to one or both of the power buses.</w:t>
      </w:r>
    </w:p>
    <w:p w14:paraId="0277B821" w14:textId="77777777" w:rsidR="00DB15E9" w:rsidRDefault="0078312E">
      <w:pPr>
        <w:pStyle w:val="ESSPNumberedList"/>
      </w:pPr>
      <w:r>
        <w:t>Note: The utilization of the redundant power circuits by the Instrument is optional based upon instrument mission classification, reliability, and redundancy requirements.</w:t>
      </w:r>
    </w:p>
    <w:p w14:paraId="45DF7EE3" w14:textId="77777777" w:rsidR="00DB15E9" w:rsidRDefault="0078312E">
      <w:pPr>
        <w:pStyle w:val="Heading3"/>
      </w:pPr>
      <w:bookmarkStart w:id="75" w:name="_Ref207359866"/>
      <w:bookmarkStart w:id="76" w:name="_Toc471910763"/>
      <w:r>
        <w:t>Survival Heater Bus Interface</w:t>
      </w:r>
      <w:bookmarkEnd w:id="75"/>
      <w:bookmarkEnd w:id="76"/>
    </w:p>
    <w:p w14:paraId="2A13AD73" w14:textId="77777777" w:rsidR="00DB15E9" w:rsidRDefault="0078312E">
      <w:pPr>
        <w:pStyle w:val="Requirement"/>
      </w:pPr>
      <w:r>
        <w:t>The EPS should provide power to the survival heaters via the Survival Heater Power Bus.</w:t>
      </w:r>
    </w:p>
    <w:p w14:paraId="4FF1DD3B" w14:textId="77777777" w:rsidR="00DB15E9" w:rsidRDefault="0078312E">
      <w:pPr>
        <w:pStyle w:val="ESSPNumberedList"/>
      </w:pPr>
      <w:r>
        <w:t>Rationale:</w:t>
      </w:r>
      <w:r>
        <w:rPr>
          <w:rFonts w:cs="Arial"/>
          <w:shd w:val="clear" w:color="auto" w:fill="FFFFFF"/>
        </w:rPr>
        <w:t xml:space="preserve"> </w:t>
      </w:r>
      <w:r>
        <w:t xml:space="preserve">The Survival Heaters, which are elements of the Thermal subsystem, require power to heat certain instrument components during off-nominal scenarios when the Power </w:t>
      </w:r>
      <w:r>
        <w:lastRenderedPageBreak/>
        <w:t>Buses are not fully energized.</w:t>
      </w:r>
      <w:r>
        <w:rPr>
          <w:rFonts w:cs="Arial"/>
          <w:shd w:val="clear" w:color="auto" w:fill="FFFFFF"/>
        </w:rPr>
        <w:t xml:space="preserve"> </w:t>
      </w:r>
      <w:r>
        <w:t>See Best Practices appendix Document for more discussion about survival heaters.</w:t>
      </w:r>
    </w:p>
    <w:p w14:paraId="0CC11314" w14:textId="77777777" w:rsidR="00DB15E9" w:rsidRDefault="0078312E">
      <w:pPr>
        <w:pStyle w:val="Heading3"/>
      </w:pPr>
      <w:bookmarkStart w:id="77" w:name="_Toc471910764"/>
      <w:bookmarkStart w:id="78" w:name="_Toc279057995"/>
      <w:bookmarkStart w:id="79" w:name="_Toc279057982"/>
      <w:bookmarkStart w:id="80" w:name="_Toc296337877"/>
      <w:bookmarkStart w:id="81" w:name="_Toc298054661"/>
      <w:r>
        <w:t>Bonding</w:t>
      </w:r>
      <w:bookmarkEnd w:id="77"/>
    </w:p>
    <w:p w14:paraId="6605964B" w14:textId="77777777" w:rsidR="00DB15E9" w:rsidRDefault="0078312E">
      <w:pPr>
        <w:pStyle w:val="Requirement"/>
      </w:pPr>
      <w:r>
        <w:t>The Instrument bonding should comply with NASA-STD-4003 or equivalent.</w:t>
      </w:r>
    </w:p>
    <w:p w14:paraId="7F63A5A4" w14:textId="77777777" w:rsidR="00DB15E9" w:rsidRDefault="0078312E">
      <w:pPr>
        <w:pStyle w:val="ESSPBodyText"/>
      </w:pPr>
      <w:r>
        <w:t>Rationale:</w:t>
      </w:r>
      <w:r>
        <w:rPr>
          <w:rFonts w:cs="Arial"/>
          <w:shd w:val="clear" w:color="auto" w:fill="FFFFFF"/>
        </w:rPr>
        <w:t xml:space="preserve"> </w:t>
      </w:r>
      <w:r>
        <w:t>The instrument bonding practices must be defined to support the instrument design and development process.</w:t>
      </w:r>
      <w:r>
        <w:rPr>
          <w:rFonts w:cs="Arial"/>
          <w:shd w:val="clear" w:color="auto" w:fill="FFFFFF"/>
        </w:rPr>
        <w:t xml:space="preserve"> </w:t>
      </w:r>
      <w:r>
        <w:t>The implementation of the subject reference will provide consistent and proven design principles and support a successful instrument development, integration to a Host Spacecraft and mission.</w:t>
      </w:r>
    </w:p>
    <w:p w14:paraId="2CD68216" w14:textId="77777777" w:rsidR="00DB15E9" w:rsidRDefault="0078312E">
      <w:pPr>
        <w:pStyle w:val="Heading3"/>
      </w:pPr>
      <w:bookmarkStart w:id="82" w:name="_Toc471910765"/>
      <w:r>
        <w:t>Mitigation of In-Space Charging Effects</w:t>
      </w:r>
      <w:bookmarkEnd w:id="82"/>
    </w:p>
    <w:p w14:paraId="3C49430F" w14:textId="77777777" w:rsidR="00DB15E9" w:rsidRDefault="0078312E">
      <w:pPr>
        <w:pStyle w:val="Requirement"/>
      </w:pPr>
      <w:r>
        <w:t>The Instrument should comply with NASA-HDBK-4002A, or equivalent, to mitigate in-space charging effects.</w:t>
      </w:r>
    </w:p>
    <w:p w14:paraId="619E71B6" w14:textId="77777777" w:rsidR="00DB15E9" w:rsidRDefault="0078312E">
      <w:pPr>
        <w:pStyle w:val="ESSPBodyText"/>
      </w:pPr>
      <w:r>
        <w:t>Rationale: The application of the defined reference to the Instrument grounding architecture and bonding practices will address issues and concerns with the in-flight buildup of charge on internal Host Spacecraft components and external surfaces related to space plasmas and high-energy electrons and the consequences of that charge buildup.</w:t>
      </w:r>
    </w:p>
    <w:p w14:paraId="167D361A" w14:textId="77777777" w:rsidR="00DB15E9" w:rsidRDefault="0078312E">
      <w:pPr>
        <w:pStyle w:val="Heading3"/>
      </w:pPr>
      <w:bookmarkStart w:id="83" w:name="_Toc326129267"/>
      <w:bookmarkStart w:id="84" w:name="_Toc471910766"/>
      <w:bookmarkEnd w:id="78"/>
      <w:r>
        <w:t>EPS Accommodation</w:t>
      </w:r>
      <w:bookmarkEnd w:id="83"/>
      <w:bookmarkEnd w:id="84"/>
    </w:p>
    <w:bookmarkEnd w:id="79"/>
    <w:bookmarkEnd w:id="80"/>
    <w:bookmarkEnd w:id="81"/>
    <w:p w14:paraId="5C9134E6" w14:textId="77777777" w:rsidR="00DB15E9" w:rsidRDefault="0078312E">
      <w:pPr>
        <w:pStyle w:val="ESSPBodyText"/>
      </w:pPr>
      <w:r>
        <w:t>This section specifies the characteristics, connections, and control of the Host Spacecraft power provided to each Instrument as well as the requirements that each Instrument must meet at this interface.</w:t>
      </w:r>
      <w:r>
        <w:rPr>
          <w:rFonts w:cs="Arial"/>
          <w:shd w:val="clear" w:color="auto" w:fill="FFFFFF"/>
        </w:rPr>
        <w:t xml:space="preserve"> </w:t>
      </w:r>
      <w:r>
        <w:t>This section applies equally to the Power Buses and the Survival Heater Power Buses.</w:t>
      </w:r>
    </w:p>
    <w:p w14:paraId="49A730E6" w14:textId="77777777" w:rsidR="00DB15E9" w:rsidRDefault="0078312E">
      <w:pPr>
        <w:pStyle w:val="ESSPBodyText"/>
      </w:pPr>
      <w:bookmarkStart w:id="85" w:name="_Toc279057984"/>
      <w:r>
        <w:t>Definitions:</w:t>
      </w:r>
    </w:p>
    <w:p w14:paraId="2E0BBD20" w14:textId="77777777" w:rsidR="00DB15E9" w:rsidRDefault="0078312E">
      <w:pPr>
        <w:pStyle w:val="ESSPBodyText"/>
        <w:rPr>
          <w:u w:val="single"/>
        </w:rPr>
      </w:pPr>
      <w:r>
        <w:rPr>
          <w:u w:val="single"/>
        </w:rPr>
        <w:t>Average Power Consumptio</w:t>
      </w:r>
      <w:bookmarkEnd w:id="85"/>
      <w:r>
        <w:rPr>
          <w:u w:val="single"/>
        </w:rPr>
        <w:t>n</w:t>
      </w:r>
      <w:r>
        <w:t>: the total power consumed averaged over any 180-minute period.</w:t>
      </w:r>
    </w:p>
    <w:p w14:paraId="136338BD" w14:textId="77777777" w:rsidR="00DB15E9" w:rsidRDefault="0078312E">
      <w:pPr>
        <w:pStyle w:val="ESSPBodyText"/>
      </w:pPr>
      <w:r>
        <w:rPr>
          <w:u w:val="single"/>
        </w:rPr>
        <w:t>Peak Power Consumption</w:t>
      </w:r>
      <w:r>
        <w:t>: the maximum power consumed averaged over any 10 ms period.</w:t>
      </w:r>
    </w:p>
    <w:p w14:paraId="60846268" w14:textId="77777777" w:rsidR="00DB15E9" w:rsidRDefault="0078312E">
      <w:pPr>
        <w:pStyle w:val="Heading4"/>
      </w:pPr>
      <w:bookmarkStart w:id="86" w:name="_Toc279057983"/>
      <w:bookmarkStart w:id="87" w:name="_Toc471910767"/>
      <w:r>
        <w:t>Instrument Power Harness</w:t>
      </w:r>
      <w:bookmarkEnd w:id="86"/>
      <w:bookmarkEnd w:id="87"/>
    </w:p>
    <w:p w14:paraId="51C00F04" w14:textId="77777777" w:rsidR="00DB15E9" w:rsidRDefault="0078312E">
      <w:pPr>
        <w:pStyle w:val="Requirement"/>
      </w:pPr>
      <w:r>
        <w:t>Instrument power harnesses should be sized to the largest possible current value as specified by the peak Instrument power level and both Host Spacecraft and Instrument overcurrent protection devices.</w:t>
      </w:r>
    </w:p>
    <w:p w14:paraId="500CE11F" w14:textId="77777777" w:rsidR="00DB15E9" w:rsidRDefault="0078312E">
      <w:pPr>
        <w:pStyle w:val="ESSPBodyText"/>
      </w:pPr>
      <w:r>
        <w:t>Rationale:</w:t>
      </w:r>
      <w:r>
        <w:rPr>
          <w:rFonts w:cs="Arial"/>
          <w:shd w:val="clear" w:color="auto" w:fill="FFFFFF"/>
        </w:rPr>
        <w:t xml:space="preserve"> </w:t>
      </w:r>
      <w:r>
        <w:t>Sizing all components of the Instrument power harness, such as the wires, connectors, sockets, and pins to the peak power level required by the Instrument and Host Spacecraft prevents damage to the power harnessing.</w:t>
      </w:r>
    </w:p>
    <w:p w14:paraId="192545D8" w14:textId="77777777" w:rsidR="00DB15E9" w:rsidRDefault="0078312E">
      <w:pPr>
        <w:pStyle w:val="Heading4"/>
      </w:pPr>
      <w:bookmarkStart w:id="88" w:name="_Toc279057985"/>
      <w:bookmarkStart w:id="89" w:name="_Toc471910768"/>
      <w:r>
        <w:t>Allocation of Instrument Power</w:t>
      </w:r>
      <w:bookmarkEnd w:id="88"/>
      <w:bookmarkEnd w:id="89"/>
    </w:p>
    <w:p w14:paraId="45F5324E" w14:textId="77777777" w:rsidR="00DB15E9" w:rsidRDefault="0078312E">
      <w:pPr>
        <w:pStyle w:val="Requirement"/>
      </w:pPr>
      <w:r>
        <w:t xml:space="preserve">The EPS should draw no more power from the Host Spacecraft in each Instrument mode than defined in </w:t>
      </w:r>
      <w:r>
        <w:rPr>
          <w:rStyle w:val="ESSPBodyTextChar"/>
        </w:rPr>
        <w:fldChar w:fldCharType="begin"/>
      </w:r>
      <w:r>
        <w:rPr>
          <w:rStyle w:val="ESSPBodyTextChar"/>
        </w:rPr>
        <w:instrText xml:space="preserve"> REF _Ref296439355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Table 2</w:t>
      </w:r>
      <w:r>
        <w:rPr>
          <w:rStyle w:val="ESSPBodyTextChar"/>
        </w:rPr>
        <w:noBreakHyphen/>
        <w:t>2</w:t>
      </w:r>
      <w:r>
        <w:rPr>
          <w:rStyle w:val="ESSPBodyTextChar"/>
        </w:rPr>
        <w:fldChar w:fldCharType="end"/>
      </w:r>
      <w:r>
        <w:t>.</w:t>
      </w:r>
    </w:p>
    <w:p w14:paraId="6A97B512" w14:textId="77777777" w:rsidR="00DB15E9" w:rsidRDefault="0078312E">
      <w:pPr>
        <w:pStyle w:val="ESSPBodyText"/>
      </w:pPr>
      <w:r>
        <w:t>Rationale:</w:t>
      </w:r>
      <w:r>
        <w:rPr>
          <w:rFonts w:cs="Arial"/>
          <w:shd w:val="clear" w:color="auto" w:fill="FFFFFF"/>
        </w:rPr>
        <w:t xml:space="preserve"> </w:t>
      </w:r>
      <w:r>
        <w:t xml:space="preserve">The guideline defines power allocation for the </w:t>
      </w:r>
      <w:r>
        <w:rPr>
          <w:smallCaps/>
        </w:rPr>
        <w:t>Operation</w:t>
      </w:r>
      <w:r>
        <w:t xml:space="preserve"> mode.</w:t>
      </w:r>
      <w:r>
        <w:rPr>
          <w:rFonts w:cs="Arial"/>
          <w:shd w:val="clear" w:color="auto" w:fill="FFFFFF"/>
        </w:rPr>
        <w:t xml:space="preserve"> </w:t>
      </w:r>
      <w:r>
        <w:t xml:space="preserve">The assumption that the instrument requires 100% of the power required in the </w:t>
      </w:r>
      <w:r>
        <w:rPr>
          <w:smallCaps/>
        </w:rPr>
        <w:t>Operation</w:t>
      </w:r>
      <w:r>
        <w:t xml:space="preserve"> mode defines the power allocation for the </w:t>
      </w:r>
      <w:r>
        <w:rPr>
          <w:smallCaps/>
        </w:rPr>
        <w:t>Activation</w:t>
      </w:r>
      <w:r>
        <w:t xml:space="preserve"> mode.</w:t>
      </w:r>
      <w:r>
        <w:rPr>
          <w:rFonts w:cs="Arial"/>
          <w:shd w:val="clear" w:color="auto" w:fill="FFFFFF"/>
        </w:rPr>
        <w:t xml:space="preserve"> </w:t>
      </w:r>
      <w:r>
        <w:t xml:space="preserve">The assumption that the instrument requires 50% of the power required in the </w:t>
      </w:r>
      <w:r>
        <w:rPr>
          <w:smallCaps/>
        </w:rPr>
        <w:t>Operation</w:t>
      </w:r>
      <w:r>
        <w:t xml:space="preserve"> mode defines the power allocation for the </w:t>
      </w:r>
      <w:r>
        <w:rPr>
          <w:smallCaps/>
        </w:rPr>
        <w:t>Safe</w:t>
      </w:r>
      <w:r>
        <w:t xml:space="preserve"> mode.</w:t>
      </w:r>
      <w:r>
        <w:rPr>
          <w:rFonts w:cs="Arial"/>
          <w:shd w:val="clear" w:color="auto" w:fill="FFFFFF"/>
        </w:rPr>
        <w:t xml:space="preserve"> </w:t>
      </w:r>
      <w:r>
        <w:t xml:space="preserve">The assumption that the instrument only requires survival heater power defines the power allocation for the </w:t>
      </w:r>
      <w:r>
        <w:rPr>
          <w:smallCaps/>
        </w:rPr>
        <w:t>Survival</w:t>
      </w:r>
      <w:r>
        <w:t xml:space="preserve"> mode.</w:t>
      </w:r>
    </w:p>
    <w:p w14:paraId="590A7277" w14:textId="77777777" w:rsidR="00DB15E9" w:rsidRDefault="0078312E">
      <w:pPr>
        <w:pStyle w:val="ESSPBodyText"/>
      </w:pPr>
      <w:r>
        <w:lastRenderedPageBreak/>
        <w:t>Note: Instrument and Instrument survival heater power should not exceed the defined power allocation at end-of-life at worst-case low bus voltage.</w:t>
      </w:r>
    </w:p>
    <w:p w14:paraId="00D633E6" w14:textId="77777777" w:rsidR="00DB15E9" w:rsidRDefault="0078312E">
      <w:pPr>
        <w:pStyle w:val="ESSPBodyText"/>
      </w:pPr>
      <w:r>
        <w:t>Note: The instrument modes are notional and based upon an example provided in Appendix D.</w:t>
      </w:r>
      <w:r>
        <w:rPr>
          <w:rFonts w:cs="Arial"/>
          <w:shd w:val="clear" w:color="auto" w:fill="FFFFFF"/>
        </w:rPr>
        <w:t xml:space="preserve"> </w:t>
      </w:r>
    </w:p>
    <w:p w14:paraId="3491AAEA" w14:textId="77777777" w:rsidR="00DB15E9" w:rsidRDefault="0078312E">
      <w:pPr>
        <w:pStyle w:val="ESSPTableCaption"/>
      </w:pPr>
      <w:bookmarkStart w:id="90" w:name="_Ref296439355"/>
      <w:bookmarkStart w:id="91" w:name="_Toc297094114"/>
      <w:bookmarkStart w:id="92" w:name="_Toc326129304"/>
      <w:bookmarkStart w:id="93" w:name="_Toc453056571"/>
      <w:bookmarkStart w:id="94" w:name="_Toc471971550"/>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2</w:t>
      </w:r>
      <w:r w:rsidR="00BA5284">
        <w:rPr>
          <w:noProof/>
        </w:rPr>
        <w:fldChar w:fldCharType="end"/>
      </w:r>
      <w:bookmarkEnd w:id="90"/>
      <w:r>
        <w:t>: Instrument Power Allocation</w:t>
      </w:r>
      <w:bookmarkEnd w:id="91"/>
      <w:bookmarkEnd w:id="92"/>
      <w:bookmarkEnd w:id="93"/>
      <w:bookmarkEnd w:id="94"/>
    </w:p>
    <w:tbl>
      <w:tblPr>
        <w:tblStyle w:val="TableGrid8"/>
        <w:tblW w:w="5361" w:type="dxa"/>
        <w:jc w:val="center"/>
        <w:tblLook w:val="06A0" w:firstRow="1" w:lastRow="0" w:firstColumn="1" w:lastColumn="0" w:noHBand="1" w:noVBand="1"/>
      </w:tblPr>
      <w:tblGrid>
        <w:gridCol w:w="1861"/>
        <w:gridCol w:w="1750"/>
        <w:gridCol w:w="1750"/>
      </w:tblGrid>
      <w:tr w:rsidR="00DB15E9" w14:paraId="151B6E9C" w14:textId="77777777" w:rsidTr="00DB15E9">
        <w:trPr>
          <w:cnfStyle w:val="100000000000" w:firstRow="1" w:lastRow="0" w:firstColumn="0" w:lastColumn="0" w:oddVBand="0" w:evenVBand="0" w:oddHBand="0" w:evenHBand="0" w:firstRowFirstColumn="0" w:firstRowLastColumn="0" w:lastRowFirstColumn="0" w:lastRowLastColumn="0"/>
          <w:trHeight w:val="288"/>
          <w:jc w:val="center"/>
        </w:trPr>
        <w:tc>
          <w:tcPr>
            <w:tcW w:w="1861" w:type="dxa"/>
            <w:vMerge w:val="restart"/>
          </w:tcPr>
          <w:p w14:paraId="53569ADD" w14:textId="77777777" w:rsidR="00DB15E9" w:rsidRDefault="0078312E">
            <w:pPr>
              <w:pStyle w:val="ESSPTableText"/>
            </w:pPr>
            <w:r>
              <w:t>Mode</w:t>
            </w:r>
          </w:p>
        </w:tc>
        <w:tc>
          <w:tcPr>
            <w:tcW w:w="3500" w:type="dxa"/>
            <w:gridSpan w:val="2"/>
          </w:tcPr>
          <w:p w14:paraId="3C7FFD0B" w14:textId="77777777" w:rsidR="00DB15E9" w:rsidRDefault="0078312E">
            <w:pPr>
              <w:pStyle w:val="ESSPTableText"/>
            </w:pPr>
            <w:r>
              <w:t>LEO</w:t>
            </w:r>
          </w:p>
        </w:tc>
      </w:tr>
      <w:tr w:rsidR="00DB15E9" w14:paraId="7703C6D2" w14:textId="77777777" w:rsidTr="00DB15E9">
        <w:trPr>
          <w:trHeight w:val="288"/>
          <w:jc w:val="center"/>
        </w:trPr>
        <w:tc>
          <w:tcPr>
            <w:tcW w:w="1861" w:type="dxa"/>
            <w:vMerge/>
          </w:tcPr>
          <w:p w14:paraId="586F0174" w14:textId="77777777" w:rsidR="00DB15E9" w:rsidRDefault="00DB15E9">
            <w:pPr>
              <w:pStyle w:val="ESSPTableText"/>
            </w:pPr>
          </w:p>
        </w:tc>
        <w:tc>
          <w:tcPr>
            <w:tcW w:w="1750" w:type="dxa"/>
          </w:tcPr>
          <w:p w14:paraId="3597B47B" w14:textId="77777777" w:rsidR="00DB15E9" w:rsidRDefault="0078312E">
            <w:pPr>
              <w:pStyle w:val="ESSPTableText"/>
            </w:pPr>
            <w:r>
              <w:t>Peak (W)</w:t>
            </w:r>
          </w:p>
        </w:tc>
        <w:tc>
          <w:tcPr>
            <w:tcW w:w="1750" w:type="dxa"/>
          </w:tcPr>
          <w:p w14:paraId="17F39765" w14:textId="77777777" w:rsidR="00DB15E9" w:rsidRDefault="0078312E">
            <w:pPr>
              <w:pStyle w:val="ESSPTableText"/>
            </w:pPr>
            <w:r>
              <w:t>Average (W)</w:t>
            </w:r>
          </w:p>
        </w:tc>
      </w:tr>
      <w:tr w:rsidR="00DB15E9" w14:paraId="7359CB55" w14:textId="77777777" w:rsidTr="00DB15E9">
        <w:trPr>
          <w:trHeight w:val="288"/>
          <w:jc w:val="center"/>
        </w:trPr>
        <w:tc>
          <w:tcPr>
            <w:tcW w:w="1861" w:type="dxa"/>
          </w:tcPr>
          <w:p w14:paraId="66EF4AEA" w14:textId="77777777" w:rsidR="00DB15E9" w:rsidRDefault="0078312E">
            <w:pPr>
              <w:pStyle w:val="ESSPTableText"/>
            </w:pPr>
            <w:r>
              <w:t>Off/ Survival</w:t>
            </w:r>
          </w:p>
        </w:tc>
        <w:tc>
          <w:tcPr>
            <w:tcW w:w="1750" w:type="dxa"/>
          </w:tcPr>
          <w:p w14:paraId="0519F11E" w14:textId="77777777" w:rsidR="00DB15E9" w:rsidRDefault="0078312E">
            <w:pPr>
              <w:pStyle w:val="ESSPTableText"/>
            </w:pPr>
            <w:r>
              <w:t>0/60</w:t>
            </w:r>
          </w:p>
        </w:tc>
        <w:tc>
          <w:tcPr>
            <w:tcW w:w="1750" w:type="dxa"/>
          </w:tcPr>
          <w:p w14:paraId="4F43B3E9" w14:textId="77777777" w:rsidR="00DB15E9" w:rsidRDefault="0078312E">
            <w:pPr>
              <w:pStyle w:val="ESSPTableText"/>
            </w:pPr>
            <w:r>
              <w:t>0/30</w:t>
            </w:r>
          </w:p>
        </w:tc>
      </w:tr>
      <w:tr w:rsidR="00DB15E9" w14:paraId="2DC0A432" w14:textId="77777777" w:rsidTr="00DB15E9">
        <w:trPr>
          <w:trHeight w:val="288"/>
          <w:jc w:val="center"/>
        </w:trPr>
        <w:tc>
          <w:tcPr>
            <w:tcW w:w="1861" w:type="dxa"/>
          </w:tcPr>
          <w:p w14:paraId="56DA65FA" w14:textId="77777777" w:rsidR="00DB15E9" w:rsidRDefault="0078312E">
            <w:pPr>
              <w:pStyle w:val="ESSPTableText"/>
            </w:pPr>
            <w:r>
              <w:t>Activation</w:t>
            </w:r>
          </w:p>
        </w:tc>
        <w:tc>
          <w:tcPr>
            <w:tcW w:w="1750" w:type="dxa"/>
          </w:tcPr>
          <w:p w14:paraId="13870974" w14:textId="77777777" w:rsidR="00DB15E9" w:rsidRDefault="0078312E">
            <w:pPr>
              <w:pStyle w:val="ESSPTableText"/>
            </w:pPr>
            <w:r>
              <w:t>200</w:t>
            </w:r>
          </w:p>
        </w:tc>
        <w:tc>
          <w:tcPr>
            <w:tcW w:w="1750" w:type="dxa"/>
          </w:tcPr>
          <w:p w14:paraId="3E82749E" w14:textId="77777777" w:rsidR="00DB15E9" w:rsidRDefault="0078312E">
            <w:pPr>
              <w:pStyle w:val="ESSPTableText"/>
            </w:pPr>
            <w:r>
              <w:t>100</w:t>
            </w:r>
          </w:p>
        </w:tc>
      </w:tr>
      <w:tr w:rsidR="00DB15E9" w14:paraId="4E9691F6" w14:textId="77777777" w:rsidTr="00DB15E9">
        <w:trPr>
          <w:trHeight w:val="288"/>
          <w:jc w:val="center"/>
        </w:trPr>
        <w:tc>
          <w:tcPr>
            <w:tcW w:w="1861" w:type="dxa"/>
          </w:tcPr>
          <w:p w14:paraId="5267E0FD" w14:textId="77777777" w:rsidR="00DB15E9" w:rsidRDefault="0078312E">
            <w:pPr>
              <w:pStyle w:val="ESSPTableText"/>
            </w:pPr>
            <w:r>
              <w:t>Safe</w:t>
            </w:r>
          </w:p>
        </w:tc>
        <w:tc>
          <w:tcPr>
            <w:tcW w:w="1750" w:type="dxa"/>
          </w:tcPr>
          <w:p w14:paraId="762F270B" w14:textId="77777777" w:rsidR="00DB15E9" w:rsidRDefault="0078312E">
            <w:pPr>
              <w:pStyle w:val="ESSPTableText"/>
            </w:pPr>
            <w:r>
              <w:t>100</w:t>
            </w:r>
          </w:p>
        </w:tc>
        <w:tc>
          <w:tcPr>
            <w:tcW w:w="1750" w:type="dxa"/>
          </w:tcPr>
          <w:p w14:paraId="09F9C8BC" w14:textId="77777777" w:rsidR="00DB15E9" w:rsidRDefault="0078312E">
            <w:pPr>
              <w:pStyle w:val="ESSPTableText"/>
            </w:pPr>
            <w:r>
              <w:t>50</w:t>
            </w:r>
          </w:p>
        </w:tc>
      </w:tr>
      <w:tr w:rsidR="00DB15E9" w14:paraId="4B0C4711" w14:textId="77777777" w:rsidTr="00DB15E9">
        <w:trPr>
          <w:trHeight w:val="288"/>
          <w:jc w:val="center"/>
        </w:trPr>
        <w:tc>
          <w:tcPr>
            <w:tcW w:w="1861" w:type="dxa"/>
          </w:tcPr>
          <w:p w14:paraId="016A7704" w14:textId="77777777" w:rsidR="00DB15E9" w:rsidRDefault="0078312E">
            <w:pPr>
              <w:pStyle w:val="ESSPTableText"/>
            </w:pPr>
            <w:r>
              <w:t>Operation</w:t>
            </w:r>
          </w:p>
        </w:tc>
        <w:tc>
          <w:tcPr>
            <w:tcW w:w="1750" w:type="dxa"/>
          </w:tcPr>
          <w:p w14:paraId="6C649676" w14:textId="77777777" w:rsidR="00DB15E9" w:rsidRDefault="0078312E">
            <w:pPr>
              <w:pStyle w:val="ESSPTableText"/>
            </w:pPr>
            <w:r>
              <w:t>200</w:t>
            </w:r>
          </w:p>
        </w:tc>
        <w:tc>
          <w:tcPr>
            <w:tcW w:w="1750" w:type="dxa"/>
          </w:tcPr>
          <w:p w14:paraId="69ED2E0B" w14:textId="77777777" w:rsidR="00DB15E9" w:rsidRDefault="0078312E">
            <w:pPr>
              <w:pStyle w:val="ESSPTableText"/>
            </w:pPr>
            <w:r>
              <w:t>100</w:t>
            </w:r>
          </w:p>
        </w:tc>
      </w:tr>
    </w:tbl>
    <w:p w14:paraId="310F46AC" w14:textId="77777777" w:rsidR="00DB15E9" w:rsidRDefault="0078312E">
      <w:pPr>
        <w:pStyle w:val="Heading4"/>
      </w:pPr>
      <w:bookmarkStart w:id="95" w:name="_Toc471910769"/>
      <w:r>
        <w:t>Unannounced Removal of Power</w:t>
      </w:r>
      <w:bookmarkEnd w:id="95"/>
    </w:p>
    <w:p w14:paraId="3216F2C0" w14:textId="77777777" w:rsidR="00DB15E9" w:rsidRDefault="0078312E">
      <w:pPr>
        <w:pStyle w:val="Requirement"/>
      </w:pPr>
      <w:r>
        <w:t>The Instrument should function according to its operational specifications when nominal power is restored following an unannounced removal of power.</w:t>
      </w:r>
    </w:p>
    <w:p w14:paraId="356B876B" w14:textId="77777777" w:rsidR="00DB15E9" w:rsidRDefault="0078312E">
      <w:pPr>
        <w:pStyle w:val="ESSPBodyText"/>
      </w:pPr>
      <w:r>
        <w:t>Rationale: In the event of a Host Spacecraft electrical malfunction, the instrument would likely be one of the first electrical loads to be shed either in a controlled or uncontrolled manner.</w:t>
      </w:r>
    </w:p>
    <w:p w14:paraId="7936DB46" w14:textId="77777777" w:rsidR="00DB15E9" w:rsidRDefault="0078312E">
      <w:pPr>
        <w:pStyle w:val="Heading4"/>
      </w:pPr>
      <w:bookmarkStart w:id="96" w:name="_Toc471910770"/>
      <w:r>
        <w:t>Reversal of Power</w:t>
      </w:r>
      <w:bookmarkEnd w:id="96"/>
    </w:p>
    <w:p w14:paraId="4887109A" w14:textId="77777777" w:rsidR="00DB15E9" w:rsidRDefault="0078312E">
      <w:pPr>
        <w:pStyle w:val="Requirement"/>
      </w:pPr>
      <w:r>
        <w:t>The Instrument should function according to its operational specifications when proper polarity is restored following a reversal of power (positive) and ground (negative).</w:t>
      </w:r>
    </w:p>
    <w:p w14:paraId="0094CDAC" w14:textId="77777777" w:rsidR="00DB15E9" w:rsidRDefault="0078312E">
      <w:pPr>
        <w:pStyle w:val="ESSPBodyText"/>
      </w:pPr>
      <w:r>
        <w:t>Rationale: This defines the ability of an instrument to survive a power reversal anomaly which could accidentally occur during assembly, integration, and test (AI&amp;T).</w:t>
      </w:r>
    </w:p>
    <w:p w14:paraId="67A2FE46" w14:textId="77777777" w:rsidR="00DB15E9" w:rsidRDefault="0078312E">
      <w:pPr>
        <w:pStyle w:val="Heading4"/>
      </w:pPr>
      <w:bookmarkStart w:id="97" w:name="_Toc471910771"/>
      <w:r>
        <w:t>Power-Up and Power-Down</w:t>
      </w:r>
      <w:bookmarkEnd w:id="97"/>
    </w:p>
    <w:p w14:paraId="7301A582" w14:textId="77777777" w:rsidR="00DB15E9" w:rsidRDefault="0078312E">
      <w:pPr>
        <w:pStyle w:val="Requirement"/>
      </w:pPr>
      <w:r>
        <w:t>The Instrument should function according to its operational specifications when the Host Spacecraft changes the voltage across the Operational Bus from +28 to 0 VDC or from 0 to +28 VDC as a step function.</w:t>
      </w:r>
    </w:p>
    <w:p w14:paraId="21376EFB" w14:textId="77777777" w:rsidR="00DB15E9" w:rsidRDefault="0078312E">
      <w:pPr>
        <w:pStyle w:val="ESSPBodyText"/>
      </w:pPr>
      <w:r>
        <w:t xml:space="preserve">Rationale: A necessary practice to preclude instrument damage/degradation. Ideally, the Instrument should power up in the minimum power draw state of the </w:t>
      </w:r>
      <w:r>
        <w:rPr>
          <w:smallCaps/>
        </w:rPr>
        <w:t>Off/Survival</w:t>
      </w:r>
      <w:r>
        <w:t xml:space="preserve"> Mode and then transition into the minimum power draw state of the </w:t>
      </w:r>
      <w:r>
        <w:rPr>
          <w:smallCaps/>
        </w:rPr>
        <w:t>Initialization</w:t>
      </w:r>
      <w:r>
        <w:t xml:space="preserve"> Mode.</w:t>
      </w:r>
      <w:r>
        <w:rPr>
          <w:rFonts w:cs="Arial"/>
          <w:shd w:val="clear" w:color="auto" w:fill="FFFFFF"/>
        </w:rPr>
        <w:t xml:space="preserve"> </w:t>
      </w:r>
      <w:r>
        <w:t>The +28 VDC is inclusive of nominal voltage transients of ±6 VDC for LEO Instruments.</w:t>
      </w:r>
    </w:p>
    <w:p w14:paraId="66A9454F" w14:textId="77777777" w:rsidR="00DB15E9" w:rsidRDefault="0078312E">
      <w:pPr>
        <w:pStyle w:val="Heading4"/>
      </w:pPr>
      <w:bookmarkStart w:id="98" w:name="_Toc471910772"/>
      <w:r>
        <w:t>Abnormal Operation Steady-State Voltage Limits</w:t>
      </w:r>
      <w:bookmarkEnd w:id="98"/>
    </w:p>
    <w:p w14:paraId="06D4D566" w14:textId="77777777" w:rsidR="00DB15E9" w:rsidRDefault="0078312E">
      <w:pPr>
        <w:pStyle w:val="Requirement"/>
      </w:pPr>
      <w:r>
        <w:t>The Instrument should function according to its operational specifications when the Host Spacecraft restores nominal power following exposure to steady-state voltages from 0 to 50 VDC.</w:t>
      </w:r>
    </w:p>
    <w:p w14:paraId="2E0B5A89" w14:textId="77777777" w:rsidR="00DB15E9" w:rsidRDefault="0078312E">
      <w:pPr>
        <w:pStyle w:val="ESSPBodyText"/>
      </w:pPr>
      <w:r>
        <w:t>Rationale: Defines a verifiable (testable) limit for off-nominal input voltage testing of an instrument.</w:t>
      </w:r>
    </w:p>
    <w:p w14:paraId="049D0141" w14:textId="77777777" w:rsidR="00DB15E9" w:rsidRDefault="0078312E">
      <w:pPr>
        <w:pStyle w:val="Heading2"/>
      </w:pPr>
      <w:bookmarkStart w:id="99" w:name="_Toc471910773"/>
      <w:r>
        <w:t>Mechanical Guidelines</w:t>
      </w:r>
      <w:bookmarkEnd w:id="99"/>
      <w:r>
        <w:t xml:space="preserve"> </w:t>
      </w:r>
    </w:p>
    <w:p w14:paraId="1645D908" w14:textId="77777777" w:rsidR="00DB15E9" w:rsidRDefault="0078312E">
      <w:pPr>
        <w:pStyle w:val="Heading3"/>
      </w:pPr>
      <w:bookmarkStart w:id="100" w:name="_Toc326129269"/>
      <w:bookmarkStart w:id="101" w:name="_Toc471910774"/>
      <w:r>
        <w:t>Assumptions</w:t>
      </w:r>
      <w:bookmarkEnd w:id="100"/>
      <w:bookmarkEnd w:id="101"/>
    </w:p>
    <w:p w14:paraId="10A3C726" w14:textId="77777777" w:rsidR="00DB15E9" w:rsidRDefault="0078312E">
      <w:pPr>
        <w:pStyle w:val="ESSPBodyText"/>
      </w:pPr>
      <w:r>
        <w:t>The HPIG mechanical guidelines assume the following regarding the Host Spacecraft:</w:t>
      </w:r>
    </w:p>
    <w:p w14:paraId="761BBBF7" w14:textId="77777777" w:rsidR="00DB15E9" w:rsidRDefault="0078312E">
      <w:pPr>
        <w:pStyle w:val="ESSPNumberedList"/>
        <w:numPr>
          <w:ilvl w:val="0"/>
          <w:numId w:val="17"/>
        </w:numPr>
      </w:pPr>
      <w:r>
        <w:lastRenderedPageBreak/>
        <w:t>The Host Spacecraft Manufacturer/Systems Integrator and the Instrument Developer will negotiate detailed parameters of the mechanical interface.</w:t>
      </w:r>
      <w:r>
        <w:rPr>
          <w:rFonts w:cs="Arial"/>
          <w:shd w:val="clear" w:color="auto" w:fill="FFFFFF"/>
        </w:rPr>
        <w:t xml:space="preserve"> </w:t>
      </w:r>
      <w:r>
        <w:t>The Mechanical Interface Control Document (MICD) will record those parameters and decisions.</w:t>
      </w:r>
    </w:p>
    <w:p w14:paraId="2106F7A8" w14:textId="77777777" w:rsidR="00DB15E9" w:rsidRDefault="0078312E">
      <w:pPr>
        <w:pStyle w:val="ESSPNumberedList"/>
      </w:pPr>
      <w:r>
        <w:t>The Host Spacecraft will accommodate fields-of-view (FOV) that equal or exceed the Instrument science and radiator requirements. (It should be noted that FOV requests are best accommodated during the initial configuration of the host.</w:t>
      </w:r>
      <w:r>
        <w:rPr>
          <w:rFonts w:cs="Arial"/>
          <w:shd w:val="clear" w:color="auto" w:fill="FFFFFF"/>
        </w:rPr>
        <w:t xml:space="preserve"> </w:t>
      </w:r>
      <w:r>
        <w:t>Therefore, FOV may be a limiting factor in determining which host spacecraft is a viable candidate for your payload.)</w:t>
      </w:r>
    </w:p>
    <w:p w14:paraId="2357A480" w14:textId="77777777" w:rsidR="00DB15E9" w:rsidRDefault="0078312E">
      <w:pPr>
        <w:pStyle w:val="ESSPNumberedList"/>
      </w:pPr>
      <w:r>
        <w:rPr>
          <w:color w:val="000000" w:themeColor="text1"/>
        </w:rPr>
        <w:t xml:space="preserve">The Host Spacecraft Manufacturer </w:t>
      </w:r>
      <w:r>
        <w:t>will furnish all instrument mounting fasteners.</w:t>
      </w:r>
    </w:p>
    <w:p w14:paraId="744E8C60" w14:textId="77777777" w:rsidR="00DB15E9" w:rsidRDefault="0078312E">
      <w:pPr>
        <w:pStyle w:val="ESSPNumberedList"/>
      </w:pPr>
      <w:r>
        <w:t>The Host Spacecraft Manufacturer will provide a glint analysis that demonstrates that no reflected light impinges onto the Instrument FOV, if requested by the Instrument Developer.</w:t>
      </w:r>
    </w:p>
    <w:p w14:paraId="046C42D4" w14:textId="77777777" w:rsidR="00DB15E9" w:rsidRDefault="0078312E">
      <w:pPr>
        <w:pStyle w:val="ESSPNumberedList"/>
      </w:pPr>
      <w:r>
        <w:t>The Host Spacecraft Manufacturer will furnish the combined structural dynamics analysis results to the Instrument Developer.</w:t>
      </w:r>
    </w:p>
    <w:p w14:paraId="484C6D8C" w14:textId="77777777" w:rsidR="00DB15E9" w:rsidRDefault="0078312E">
      <w:pPr>
        <w:pStyle w:val="Heading3"/>
      </w:pPr>
      <w:bookmarkStart w:id="102" w:name="_Toc326129270"/>
      <w:bookmarkStart w:id="103" w:name="_Toc471910775"/>
      <w:bookmarkStart w:id="104" w:name="_Toc297095695"/>
      <w:r>
        <w:t>Mechanical Interface</w:t>
      </w:r>
      <w:bookmarkEnd w:id="102"/>
      <w:bookmarkEnd w:id="103"/>
    </w:p>
    <w:p w14:paraId="371365FB" w14:textId="77777777" w:rsidR="00DB15E9" w:rsidRDefault="0078312E">
      <w:pPr>
        <w:autoSpaceDE w:val="0"/>
        <w:autoSpaceDN w:val="0"/>
        <w:adjustRightInd w:val="0"/>
        <w:spacing w:after="240"/>
        <w:rPr>
          <w:rFonts w:ascii="Times New Roman" w:hAnsi="Times New Roman"/>
          <w:b/>
          <w:szCs w:val="24"/>
        </w:rPr>
      </w:pPr>
      <w:r>
        <w:rPr>
          <w:rFonts w:ascii="Times New Roman" w:hAnsi="Times New Roman"/>
          <w:b/>
          <w:szCs w:val="24"/>
        </w:rPr>
        <w:t>The Instrument should be capable of fully acquiring science data when directly mounted to the Host Spacecraft. If precision mounting is required, the Instrument Provider should assume supplying a mounting plate to meet those requirements. Such an accommodation could affect the Instrument Providers mass budget.</w:t>
      </w:r>
    </w:p>
    <w:p w14:paraId="7E3C2B04" w14:textId="77777777" w:rsidR="00DB15E9" w:rsidRDefault="0078312E">
      <w:pPr>
        <w:pStyle w:val="ESSPBodyText"/>
      </w:pPr>
      <w:r>
        <w:t>Rationale: Broad survey of industry hosted payload accommodations indicate nadir-deck mounting of hosted payloads can be accommodated.</w:t>
      </w:r>
      <w:r>
        <w:rPr>
          <w:rFonts w:ascii="Times New Roman" w:hAnsi="Times New Roman"/>
          <w:b/>
          <w:szCs w:val="24"/>
        </w:rPr>
        <w:t xml:space="preserve"> </w:t>
      </w:r>
      <w:r>
        <w:t xml:space="preserve">Alternative mechanical interface locations or kinematic mounts are not prohibited by this guidance but may increase interface complexity. </w:t>
      </w:r>
    </w:p>
    <w:p w14:paraId="654B3AAD" w14:textId="77777777" w:rsidR="00DB15E9" w:rsidRDefault="0078312E">
      <w:pPr>
        <w:pStyle w:val="Heading3"/>
      </w:pPr>
      <w:bookmarkStart w:id="105" w:name="_Toc471910776"/>
      <w:r>
        <w:t>Mechanical Accommodation</w:t>
      </w:r>
      <w:bookmarkEnd w:id="105"/>
    </w:p>
    <w:p w14:paraId="1216F35D" w14:textId="77777777" w:rsidR="00DB15E9" w:rsidRDefault="0078312E">
      <w:pPr>
        <w:pStyle w:val="Heading4"/>
      </w:pPr>
      <w:bookmarkStart w:id="106" w:name="_Toc471910777"/>
      <w:r>
        <w:t>Mass</w:t>
      </w:r>
      <w:bookmarkEnd w:id="106"/>
    </w:p>
    <w:p w14:paraId="1582FB92" w14:textId="77777777" w:rsidR="00DB15E9" w:rsidRDefault="0078312E">
      <w:pPr>
        <w:pStyle w:val="Requirement"/>
      </w:pPr>
      <w:r>
        <w:t>The Instrument mass should be less than or equal to 100 kg.</w:t>
      </w:r>
    </w:p>
    <w:p w14:paraId="5CF9E023" w14:textId="77777777" w:rsidR="00DB15E9" w:rsidRDefault="0078312E">
      <w:pPr>
        <w:pStyle w:val="ESSPBodyText"/>
      </w:pPr>
      <w:r>
        <w:t>Rationale: Based on broad survey of industry hosted payload accommodations, instrument mass of approximately 30kg and below would maximize opportunity for finding a host.</w:t>
      </w:r>
      <w:r>
        <w:rPr>
          <w:rFonts w:ascii="Times New Roman" w:hAnsi="Times New Roman"/>
          <w:b/>
          <w:szCs w:val="24"/>
        </w:rPr>
        <w:t xml:space="preserve"> </w:t>
      </w:r>
      <w:r>
        <w:t>Opportunities above 100kg may exist but significantly decrease hosting probability.</w:t>
      </w:r>
    </w:p>
    <w:p w14:paraId="79187F38" w14:textId="77777777" w:rsidR="00DB15E9" w:rsidRDefault="0078312E">
      <w:pPr>
        <w:pStyle w:val="Heading4"/>
      </w:pPr>
      <w:bookmarkStart w:id="107" w:name="_Toc471910778"/>
      <w:r>
        <w:t>Volume</w:t>
      </w:r>
      <w:bookmarkEnd w:id="107"/>
    </w:p>
    <w:p w14:paraId="3BD585C0" w14:textId="77777777" w:rsidR="00DB15E9" w:rsidRDefault="0078312E">
      <w:pPr>
        <w:autoSpaceDE w:val="0"/>
        <w:autoSpaceDN w:val="0"/>
        <w:adjustRightInd w:val="0"/>
        <w:spacing w:after="240"/>
        <w:rPr>
          <w:rFonts w:ascii="Times New Roman" w:hAnsi="Times New Roman"/>
          <w:b/>
          <w:szCs w:val="24"/>
          <w:vertAlign w:val="superscript"/>
        </w:rPr>
      </w:pPr>
      <w:r>
        <w:rPr>
          <w:rFonts w:ascii="Times New Roman" w:hAnsi="Times New Roman"/>
          <w:b/>
          <w:szCs w:val="24"/>
        </w:rPr>
        <w:t>The Instrument and all of its components should remain within a volume of 0.15 m</w:t>
      </w:r>
      <w:r>
        <w:rPr>
          <w:rFonts w:ascii="Times New Roman" w:hAnsi="Times New Roman"/>
          <w:b/>
          <w:szCs w:val="24"/>
          <w:vertAlign w:val="superscript"/>
        </w:rPr>
        <w:t>3</w:t>
      </w:r>
      <w:r>
        <w:rPr>
          <w:rFonts w:ascii="Times New Roman" w:hAnsi="Times New Roman"/>
          <w:b/>
          <w:szCs w:val="24"/>
        </w:rPr>
        <w:t xml:space="preserve"> during all phases of flight.</w:t>
      </w:r>
    </w:p>
    <w:p w14:paraId="0978DAB7" w14:textId="77777777" w:rsidR="00DB15E9" w:rsidRDefault="0078312E">
      <w:pPr>
        <w:pStyle w:val="ESSPBodyText"/>
      </w:pPr>
      <w:r>
        <w:t>Rationale: Based on broad survey of industry hosted payload accommodations, instrument volume of approximately 0.02 m</w:t>
      </w:r>
      <w:r>
        <w:rPr>
          <w:vertAlign w:val="superscript"/>
        </w:rPr>
        <w:t>3</w:t>
      </w:r>
      <w:r>
        <w:t xml:space="preserve"> and below would maximize opportunity for finding a host. Opportunities above 0.15 m</w:t>
      </w:r>
      <w:r>
        <w:rPr>
          <w:vertAlign w:val="superscript"/>
        </w:rPr>
        <w:t>3</w:t>
      </w:r>
      <w:r>
        <w:t xml:space="preserve"> may exist but significantly decrease hosting possibilities.</w:t>
      </w:r>
    </w:p>
    <w:p w14:paraId="7C6B4849" w14:textId="77777777" w:rsidR="00DB15E9" w:rsidRDefault="0078312E">
      <w:pPr>
        <w:pStyle w:val="Heading3"/>
      </w:pPr>
      <w:bookmarkStart w:id="108" w:name="_Ref324860171"/>
      <w:bookmarkStart w:id="109" w:name="_Toc471910779"/>
      <w:r>
        <w:t>Functionality in 1 g Environment</w:t>
      </w:r>
      <w:bookmarkEnd w:id="108"/>
      <w:bookmarkEnd w:id="109"/>
    </w:p>
    <w:p w14:paraId="3AC1265C" w14:textId="77777777" w:rsidR="00DB15E9" w:rsidRDefault="0078312E">
      <w:pPr>
        <w:pStyle w:val="Requirement"/>
      </w:pPr>
      <w:r>
        <w:t>The Instrument should function according to its operational specifications in any orientation while in the integration and test environment.</w:t>
      </w:r>
    </w:p>
    <w:p w14:paraId="1EE96B6B" w14:textId="77777777" w:rsidR="00DB15E9" w:rsidRDefault="0078312E">
      <w:pPr>
        <w:pStyle w:val="ESSPBodyText"/>
      </w:pPr>
      <w:r>
        <w:lastRenderedPageBreak/>
        <w:t>Rationale: As a hosted payload, the Instrument will attach to one of multiple decks on the Host Spacecraft. Its orientation with respect to the Earth’s gravitational field during integration and test will not be known during the instrument design process. The function of the instrument and accommodation of loads should not depend on being in a particular orientation.</w:t>
      </w:r>
    </w:p>
    <w:p w14:paraId="7BCAB319" w14:textId="77777777" w:rsidR="00DB15E9" w:rsidRDefault="0078312E">
      <w:pPr>
        <w:pStyle w:val="Heading3"/>
      </w:pPr>
      <w:bookmarkStart w:id="110" w:name="_Toc471910780"/>
      <w:r>
        <w:t>Stationary Instrument Mechanisms</w:t>
      </w:r>
      <w:bookmarkEnd w:id="110"/>
    </w:p>
    <w:p w14:paraId="2A45AE02" w14:textId="77777777" w:rsidR="00DB15E9" w:rsidRDefault="0078312E">
      <w:pPr>
        <w:pStyle w:val="Requirement"/>
      </w:pPr>
      <w:r>
        <w:t>The Instrument should cage any mechanisms that require restraint, without requiring Host Spacecraft power to maintain the caged condition, throughout the launch environment.</w:t>
      </w:r>
    </w:p>
    <w:p w14:paraId="4E315A2B" w14:textId="77777777" w:rsidR="00DB15E9" w:rsidRDefault="0078312E">
      <w:pPr>
        <w:pStyle w:val="ESSPBodyText"/>
      </w:pPr>
      <w:r>
        <w:t xml:space="preserve">Rationale: As a hosted payload, the Instrument should not assume that the Host Spacecraft will provide any power during launch. </w:t>
      </w:r>
    </w:p>
    <w:p w14:paraId="565CFC7C" w14:textId="77777777" w:rsidR="00DB15E9" w:rsidRDefault="0078312E">
      <w:pPr>
        <w:pStyle w:val="Heading3"/>
      </w:pPr>
      <w:bookmarkStart w:id="111" w:name="_Toc471910781"/>
      <w:bookmarkEnd w:id="104"/>
      <w:r>
        <w:t>Moveable Masses</w:t>
      </w:r>
      <w:bookmarkEnd w:id="111"/>
    </w:p>
    <w:p w14:paraId="484F0B38" w14:textId="77777777" w:rsidR="00DB15E9" w:rsidRDefault="0078312E">
      <w:pPr>
        <w:pStyle w:val="Requirement"/>
      </w:pPr>
      <w:r>
        <w:t>The Instrument should compensate for the momentum associated with the repetitive movement of large masses, relative to the mass of the Host Spacecraft.</w:t>
      </w:r>
    </w:p>
    <w:p w14:paraId="1B6E4BF2" w14:textId="77777777" w:rsidR="00DB15E9" w:rsidRDefault="0078312E">
      <w:pPr>
        <w:pStyle w:val="ESSPBodyText"/>
      </w:pPr>
      <w:r>
        <w:t>Rationale: This prevents moveable masses from disturbing the operation of the Host Spacecraft or other payloads. This will generally not apply to items deploying during startup/initiation of operations, and the applicability of the guideline will be negotiated with the Host Spacecraft Manufacturer and/or Satellite Operator during pairing.</w:t>
      </w:r>
    </w:p>
    <w:p w14:paraId="71644C44" w14:textId="77777777" w:rsidR="00DB15E9" w:rsidRDefault="0078312E">
      <w:pPr>
        <w:pStyle w:val="Heading3"/>
      </w:pPr>
      <w:bookmarkStart w:id="112" w:name="_Toc308615335"/>
      <w:bookmarkStart w:id="113" w:name="_Toc471910782"/>
      <w:r>
        <w:t>Minimum Fixed-Base Frequency</w:t>
      </w:r>
      <w:bookmarkEnd w:id="112"/>
      <w:bookmarkEnd w:id="113"/>
    </w:p>
    <w:p w14:paraId="2FCEC63D" w14:textId="77777777" w:rsidR="00DB15E9" w:rsidRDefault="0078312E">
      <w:pPr>
        <w:pStyle w:val="Requirement"/>
      </w:pPr>
      <w:r>
        <w:t>The Instrument should have a fixed-base frequency greater than 70 Hz.</w:t>
      </w:r>
    </w:p>
    <w:p w14:paraId="2A97DD9D" w14:textId="77777777" w:rsidR="00DB15E9" w:rsidRDefault="0078312E">
      <w:pPr>
        <w:pStyle w:val="ESSPBodyText"/>
      </w:pPr>
      <w:r>
        <w:t>Rationale: Based on broad survey of industry hosted payload accommodations, this minimum fixed-based frequency meets or exceeds the composite guidance of a majority of the responding (LEO) Host Spacecraft manufacturers. Opportunities down to 25 Hz may exist but significantly decrease hosting possibilities. To some extent, the Instrument will affect the Host Spacecraft frequency depending on the payload’s mass and mounting location. Host Spacecraft Manufacturers may negotiate for a greater fixed-based frequency for hosted payloads until the maturity of the instrument can support Coupled Loads Analysis.</w:t>
      </w:r>
    </w:p>
    <w:p w14:paraId="1F1DA681" w14:textId="77777777" w:rsidR="00DB15E9" w:rsidRDefault="0078312E">
      <w:pPr>
        <w:pStyle w:val="Heading2"/>
      </w:pPr>
      <w:bookmarkStart w:id="114" w:name="_Toc471910783"/>
      <w:r>
        <w:t>Thermal Guidelines</w:t>
      </w:r>
      <w:bookmarkEnd w:id="114"/>
      <w:r>
        <w:t xml:space="preserve"> </w:t>
      </w:r>
    </w:p>
    <w:p w14:paraId="4F896DDE" w14:textId="77777777" w:rsidR="00DB15E9" w:rsidRDefault="0078312E">
      <w:pPr>
        <w:pStyle w:val="Heading3"/>
      </w:pPr>
      <w:bookmarkStart w:id="115" w:name="_Toc326129273"/>
      <w:bookmarkStart w:id="116" w:name="_Toc471910784"/>
      <w:r>
        <w:t>Assumptions</w:t>
      </w:r>
      <w:bookmarkEnd w:id="115"/>
      <w:bookmarkEnd w:id="116"/>
    </w:p>
    <w:p w14:paraId="6648B0AB" w14:textId="77777777" w:rsidR="00DB15E9" w:rsidRDefault="0078312E">
      <w:pPr>
        <w:pStyle w:val="ESSPBodyText"/>
      </w:pPr>
      <w:r>
        <w:t>The HPIG thermal guidelines assume the following regarding the Host Spacecraft:</w:t>
      </w:r>
    </w:p>
    <w:p w14:paraId="0DAE73DB" w14:textId="77777777" w:rsidR="00DB15E9" w:rsidRDefault="0078312E">
      <w:pPr>
        <w:pStyle w:val="ESSPNumberedList"/>
        <w:numPr>
          <w:ilvl w:val="0"/>
          <w:numId w:val="5"/>
        </w:numPr>
      </w:pPr>
      <w:r>
        <w:t>During the pairing process, the Host Spacecraft Manufacturer/Systems Integrator and the Instrument Developer will negotiate detailed parameters of the thermal power interface. The Thermal Interface Control Document (TICD) will record those parameters and decisions.</w:t>
      </w:r>
    </w:p>
    <w:p w14:paraId="789F42F7" w14:textId="77777777" w:rsidR="00DB15E9" w:rsidRDefault="0078312E">
      <w:pPr>
        <w:pStyle w:val="ESSPNumberedList"/>
      </w:pPr>
      <w:r>
        <w:t xml:space="preserve">The Host Spacecraft will maintain a temperature range of between -40 </w:t>
      </w:r>
      <w:r>
        <w:sym w:font="Symbol" w:char="F0B0"/>
      </w:r>
      <w:r>
        <w:t xml:space="preserve">C and 70 </w:t>
      </w:r>
      <w:r>
        <w:sym w:font="Symbol" w:char="F0B0"/>
      </w:r>
      <w:r>
        <w:t>C on its own side of the interface from the Integration through Disposal portions of its lifecycle.</w:t>
      </w:r>
    </w:p>
    <w:p w14:paraId="10D8F698" w14:textId="77777777" w:rsidR="00DB15E9" w:rsidRDefault="0078312E">
      <w:pPr>
        <w:pStyle w:val="ESSPNumberedList"/>
      </w:pPr>
      <w:r>
        <w:t>The Host Spacecraft Manufacturer will be responsible for thermal hardware used to close out the interfaces between the Instrument and Host Spacecraft, such as closeout Multi-layer Insulation (MLI).</w:t>
      </w:r>
    </w:p>
    <w:p w14:paraId="6E78D83E" w14:textId="77777777" w:rsidR="00DB15E9" w:rsidRDefault="0078312E">
      <w:pPr>
        <w:pStyle w:val="Heading3"/>
      </w:pPr>
      <w:bookmarkStart w:id="117" w:name="_Toc326129274"/>
      <w:bookmarkStart w:id="118" w:name="_Toc471910785"/>
      <w:bookmarkStart w:id="119" w:name="_Toc297095716"/>
      <w:r>
        <w:lastRenderedPageBreak/>
        <w:t>Thermal Interface</w:t>
      </w:r>
      <w:bookmarkEnd w:id="117"/>
      <w:bookmarkEnd w:id="118"/>
    </w:p>
    <w:p w14:paraId="2D0CB71D" w14:textId="77777777" w:rsidR="00DB15E9" w:rsidRDefault="0078312E">
      <w:pPr>
        <w:pStyle w:val="Requirement"/>
      </w:pPr>
      <w:r>
        <w:t>The Instrument should be thermally isolated from the Host Spacecraft.</w:t>
      </w:r>
    </w:p>
    <w:p w14:paraId="5BD99F49" w14:textId="77777777" w:rsidR="00DB15E9" w:rsidRDefault="0078312E">
      <w:pPr>
        <w:pStyle w:val="ESSPBodyText"/>
      </w:pPr>
      <w:r>
        <w:t xml:space="preserve">Rationale: As a hosted payload, the Instrument should manage its own heat transfer needs without depending on the Host Spacecraft. </w:t>
      </w:r>
    </w:p>
    <w:p w14:paraId="46C0A5DC" w14:textId="77777777" w:rsidR="00DB15E9" w:rsidRDefault="0078312E">
      <w:pPr>
        <w:pStyle w:val="Heading3"/>
      </w:pPr>
      <w:bookmarkStart w:id="120" w:name="_Toc471910786"/>
      <w:r>
        <w:t>Thermal Design at the Mechanical Interface</w:t>
      </w:r>
      <w:bookmarkEnd w:id="119"/>
      <w:bookmarkEnd w:id="120"/>
    </w:p>
    <w:p w14:paraId="67A7C9CD" w14:textId="77777777" w:rsidR="00DB15E9" w:rsidRDefault="0078312E">
      <w:pPr>
        <w:pStyle w:val="Requirement"/>
      </w:pPr>
      <w:r>
        <w:t>The Instrument thermal design should be decoupled from the Host Spacecraft at the mechanical interface between the spacecraft and neighboring payloads to the maximum practical extent.</w:t>
      </w:r>
    </w:p>
    <w:p w14:paraId="2AF5B85B" w14:textId="77777777" w:rsidR="00DB15E9" w:rsidRDefault="0078312E">
      <w:pPr>
        <w:pStyle w:val="ESSPBodyText"/>
      </w:pPr>
      <w:r>
        <w:t xml:space="preserve">Rationale: As a hosted payload, the instrument should not interfere with the Host Spacecraft’s functions. The common practice in the industry is to thermally isolate the payload from the spacecraft. </w:t>
      </w:r>
    </w:p>
    <w:p w14:paraId="2FAE50B4" w14:textId="77777777" w:rsidR="00DB15E9" w:rsidRDefault="0078312E">
      <w:pPr>
        <w:pStyle w:val="Heading3"/>
      </w:pPr>
      <w:bookmarkStart w:id="121" w:name="_Toc471910787"/>
      <w:r>
        <w:t>Conductive Heat Transfer</w:t>
      </w:r>
      <w:bookmarkEnd w:id="121"/>
    </w:p>
    <w:p w14:paraId="4D5AD478" w14:textId="77777777" w:rsidR="00DB15E9" w:rsidRDefault="0078312E">
      <w:pPr>
        <w:pStyle w:val="Requirement"/>
      </w:pPr>
      <w:r>
        <w:t>The conductive heat transfer at the Instrument-Host Spacecraft mechanical interface should be less than 15 W/m</w:t>
      </w:r>
      <w:r>
        <w:rPr>
          <w:vertAlign w:val="superscript"/>
        </w:rPr>
        <w:t>2</w:t>
      </w:r>
      <w:r>
        <w:t xml:space="preserve"> or 4 W, whichever is greater.</w:t>
      </w:r>
    </w:p>
    <w:p w14:paraId="3095D995" w14:textId="77777777" w:rsidR="00DB15E9" w:rsidRDefault="0078312E">
      <w:pPr>
        <w:pStyle w:val="ESSPBodyText"/>
      </w:pPr>
      <w:r>
        <w:t>Rationale: A conductive heat transfer of 15 W/m</w:t>
      </w:r>
      <w:r>
        <w:rPr>
          <w:vertAlign w:val="superscript"/>
        </w:rPr>
        <w:t>2</w:t>
      </w:r>
      <w:r>
        <w:t xml:space="preserve"> or 4 W is considered small enough to meet the intent of being thermally isolated. </w:t>
      </w:r>
    </w:p>
    <w:p w14:paraId="7FC908BC" w14:textId="77777777" w:rsidR="00DB15E9" w:rsidRDefault="0078312E">
      <w:pPr>
        <w:pStyle w:val="Heading3"/>
      </w:pPr>
      <w:bookmarkStart w:id="122" w:name="_Toc471910788"/>
      <w:bookmarkStart w:id="123" w:name="OLE_LINK3"/>
      <w:bookmarkStart w:id="124" w:name="OLE_LINK4"/>
      <w:r>
        <w:t>Radiative Heat Transfer</w:t>
      </w:r>
      <w:bookmarkEnd w:id="122"/>
    </w:p>
    <w:p w14:paraId="5E610BCE" w14:textId="77777777" w:rsidR="00DB15E9" w:rsidRDefault="0078312E">
      <w:pPr>
        <w:pStyle w:val="Requirement"/>
      </w:pPr>
      <w:r>
        <w:t>The TICD will document the allowable radiative heat transfer from the Instrument to the Host Spacecraft.</w:t>
      </w:r>
    </w:p>
    <w:p w14:paraId="4C0ED340" w14:textId="77777777" w:rsidR="00DB15E9" w:rsidRDefault="0078312E">
      <w:pPr>
        <w:pStyle w:val="ESSPBodyText"/>
      </w:pPr>
      <w:r>
        <w:t xml:space="preserve">Rationale: </w:t>
      </w:r>
      <w:bookmarkEnd w:id="123"/>
      <w:bookmarkEnd w:id="124"/>
    </w:p>
    <w:p w14:paraId="6FCB09ED" w14:textId="77777777" w:rsidR="00DB15E9" w:rsidRDefault="0078312E">
      <w:pPr>
        <w:pStyle w:val="ListParagraph"/>
        <w:numPr>
          <w:ilvl w:val="0"/>
          <w:numId w:val="20"/>
        </w:numPr>
        <w:rPr>
          <w:rFonts w:asciiTheme="majorHAnsi" w:hAnsiTheme="majorHAnsi" w:cstheme="majorHAnsi"/>
        </w:rPr>
      </w:pPr>
      <w:r>
        <w:rPr>
          <w:rFonts w:ascii="Times New Roman" w:hAnsi="Times New Roman"/>
          <w:szCs w:val="24"/>
        </w:rPr>
        <w:t xml:space="preserve">There is a limit to how much heat the Instrument should transmit to the Host Spacecraft via radiation, but that limit will be unknown prior to the thermal analysis conducted </w:t>
      </w:r>
      <w:r>
        <w:rPr>
          <w:rFonts w:asciiTheme="majorHAnsi" w:hAnsiTheme="majorHAnsi" w:cstheme="majorHAnsi"/>
          <w:szCs w:val="24"/>
        </w:rPr>
        <w:t xml:space="preserve">following Instrument-to-Host Spacecraft pairing. The TICD will document that future negotiated value. </w:t>
      </w:r>
    </w:p>
    <w:p w14:paraId="5B48B478" w14:textId="77777777" w:rsidR="00DB15E9" w:rsidRDefault="0078312E">
      <w:pPr>
        <w:pStyle w:val="ESSPBodyText"/>
        <w:rPr>
          <w:rFonts w:asciiTheme="majorHAnsi" w:hAnsiTheme="majorHAnsi" w:cstheme="majorHAnsi"/>
        </w:rPr>
      </w:pPr>
      <w:r>
        <w:rPr>
          <w:rFonts w:asciiTheme="majorHAnsi" w:hAnsiTheme="majorHAnsi" w:cstheme="majorHAnsi"/>
        </w:rPr>
        <w:t>Hosted</w:t>
      </w:r>
      <w:r>
        <w:t xml:space="preserve"> payload with science instruments requiring radiators operating at cold temperatures (below 25 </w:t>
      </w:r>
      <w:r>
        <w:sym w:font="Symbol" w:char="F0B0"/>
      </w:r>
      <w:r>
        <w:t>C) should consider the backloading from the warm parts of the spacecraft on the radiators. Solar array and antennas can impose significant backloading if the radiator has any view of them (see Table 2-3 and Figure 2-2).</w:t>
      </w:r>
    </w:p>
    <w:p w14:paraId="0F4044AD" w14:textId="77777777" w:rsidR="00DB15E9" w:rsidRDefault="0078312E">
      <w:pPr>
        <w:pStyle w:val="ESSPTableCaption"/>
      </w:pPr>
      <w:bookmarkStart w:id="125" w:name="_Toc471971551"/>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3</w:t>
      </w:r>
      <w:r w:rsidR="00BA5284">
        <w:rPr>
          <w:noProof/>
        </w:rPr>
        <w:fldChar w:fldCharType="end"/>
      </w:r>
      <w:r>
        <w:t>: Worst-case Backloading on Payload Radiator</w:t>
      </w:r>
      <w:bookmarkEnd w:id="125"/>
    </w:p>
    <w:tbl>
      <w:tblPr>
        <w:tblW w:w="6525" w:type="dxa"/>
        <w:jc w:val="center"/>
        <w:tblLayout w:type="fixed"/>
        <w:tblLook w:val="04A0" w:firstRow="1" w:lastRow="0" w:firstColumn="1" w:lastColumn="0" w:noHBand="0" w:noVBand="1"/>
      </w:tblPr>
      <w:tblGrid>
        <w:gridCol w:w="1620"/>
        <w:gridCol w:w="1575"/>
        <w:gridCol w:w="1540"/>
        <w:gridCol w:w="1790"/>
      </w:tblGrid>
      <w:tr w:rsidR="00DB15E9" w14:paraId="4A5BD8BB" w14:textId="77777777">
        <w:trPr>
          <w:trHeight w:val="864"/>
          <w:jc w:val="center"/>
        </w:trPr>
        <w:tc>
          <w:tcPr>
            <w:tcW w:w="16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F975599" w14:textId="77777777" w:rsidR="00DB15E9" w:rsidRDefault="0078312E">
            <w:pPr>
              <w:pStyle w:val="ESSPTableText"/>
              <w:keepNext w:val="0"/>
            </w:pPr>
            <w:r>
              <w:t xml:space="preserve">S/C Source Temp., </w:t>
            </w:r>
            <w:r>
              <w:sym w:font="Symbol" w:char="F0B0"/>
            </w:r>
            <w:r>
              <w:t>C</w:t>
            </w:r>
          </w:p>
        </w:tc>
        <w:tc>
          <w:tcPr>
            <w:tcW w:w="1575" w:type="dxa"/>
            <w:tcBorders>
              <w:top w:val="single" w:sz="8" w:space="0" w:color="auto"/>
              <w:left w:val="nil"/>
              <w:bottom w:val="single" w:sz="4" w:space="0" w:color="auto"/>
              <w:right w:val="single" w:sz="4" w:space="0" w:color="auto"/>
            </w:tcBorders>
            <w:shd w:val="clear" w:color="auto" w:fill="auto"/>
            <w:vAlign w:val="bottom"/>
            <w:hideMark/>
          </w:tcPr>
          <w:p w14:paraId="5BBBA3A0" w14:textId="77777777" w:rsidR="00DB15E9" w:rsidRDefault="0078312E">
            <w:pPr>
              <w:pStyle w:val="ESSPTableText"/>
              <w:keepNext w:val="0"/>
            </w:pPr>
            <w:r>
              <w:t>Payload Radiator</w:t>
            </w:r>
            <w:r>
              <w:br/>
              <w:t xml:space="preserve">Temp., </w:t>
            </w:r>
            <w:r>
              <w:sym w:font="Symbol" w:char="F0B0"/>
            </w:r>
            <w:r>
              <w:t>C</w:t>
            </w:r>
          </w:p>
        </w:tc>
        <w:tc>
          <w:tcPr>
            <w:tcW w:w="1540" w:type="dxa"/>
            <w:tcBorders>
              <w:top w:val="single" w:sz="8" w:space="0" w:color="auto"/>
              <w:left w:val="nil"/>
              <w:bottom w:val="single" w:sz="4" w:space="0" w:color="auto"/>
              <w:right w:val="single" w:sz="4" w:space="0" w:color="auto"/>
            </w:tcBorders>
            <w:shd w:val="clear" w:color="auto" w:fill="auto"/>
            <w:vAlign w:val="bottom"/>
            <w:hideMark/>
          </w:tcPr>
          <w:p w14:paraId="4881112F" w14:textId="77777777" w:rsidR="00DB15E9" w:rsidRDefault="0078312E">
            <w:pPr>
              <w:pStyle w:val="ESSPTableText"/>
              <w:keepNext w:val="0"/>
            </w:pPr>
            <w:r>
              <w:t>Load, W/m2</w:t>
            </w:r>
            <w:r>
              <w:br/>
              <w:t>VF=0.1</w:t>
            </w:r>
          </w:p>
        </w:tc>
        <w:tc>
          <w:tcPr>
            <w:tcW w:w="1790" w:type="dxa"/>
            <w:tcBorders>
              <w:top w:val="single" w:sz="8" w:space="0" w:color="auto"/>
              <w:left w:val="nil"/>
              <w:bottom w:val="single" w:sz="4" w:space="0" w:color="auto"/>
              <w:right w:val="single" w:sz="8" w:space="0" w:color="auto"/>
            </w:tcBorders>
            <w:shd w:val="clear" w:color="auto" w:fill="auto"/>
            <w:vAlign w:val="bottom"/>
            <w:hideMark/>
          </w:tcPr>
          <w:p w14:paraId="1A7D0CAC" w14:textId="77777777" w:rsidR="00DB15E9" w:rsidRDefault="0078312E">
            <w:pPr>
              <w:pStyle w:val="ESSPTableText"/>
              <w:keepNext w:val="0"/>
            </w:pPr>
            <w:r>
              <w:t>Load, W/m2</w:t>
            </w:r>
            <w:r>
              <w:br/>
              <w:t>VF=0.2</w:t>
            </w:r>
          </w:p>
        </w:tc>
      </w:tr>
      <w:tr w:rsidR="00DB15E9" w14:paraId="7F7D5D48"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40966B41"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659D76FA" w14:textId="77777777" w:rsidR="00DB15E9" w:rsidRDefault="0078312E">
            <w:pPr>
              <w:pStyle w:val="ESSPTableText"/>
              <w:keepNext w:val="0"/>
            </w:pPr>
            <w:r>
              <w:t>50</w:t>
            </w:r>
          </w:p>
        </w:tc>
        <w:tc>
          <w:tcPr>
            <w:tcW w:w="1540" w:type="dxa"/>
            <w:tcBorders>
              <w:top w:val="nil"/>
              <w:left w:val="nil"/>
              <w:bottom w:val="single" w:sz="4" w:space="0" w:color="auto"/>
              <w:right w:val="single" w:sz="4" w:space="0" w:color="auto"/>
            </w:tcBorders>
            <w:shd w:val="clear" w:color="auto" w:fill="auto"/>
            <w:noWrap/>
            <w:vAlign w:val="bottom"/>
            <w:hideMark/>
          </w:tcPr>
          <w:p w14:paraId="64EA30E8" w14:textId="77777777" w:rsidR="00DB15E9" w:rsidRDefault="0078312E">
            <w:pPr>
              <w:pStyle w:val="ESSPTableText"/>
              <w:keepNext w:val="0"/>
            </w:pPr>
            <w:r>
              <w:t>0</w:t>
            </w:r>
          </w:p>
        </w:tc>
        <w:tc>
          <w:tcPr>
            <w:tcW w:w="1790" w:type="dxa"/>
            <w:tcBorders>
              <w:top w:val="nil"/>
              <w:left w:val="nil"/>
              <w:bottom w:val="single" w:sz="4" w:space="0" w:color="auto"/>
              <w:right w:val="single" w:sz="8" w:space="0" w:color="auto"/>
            </w:tcBorders>
            <w:shd w:val="clear" w:color="auto" w:fill="auto"/>
            <w:noWrap/>
            <w:vAlign w:val="bottom"/>
            <w:hideMark/>
          </w:tcPr>
          <w:p w14:paraId="07631731" w14:textId="77777777" w:rsidR="00DB15E9" w:rsidRDefault="0078312E">
            <w:pPr>
              <w:pStyle w:val="ESSPTableText"/>
              <w:keepNext w:val="0"/>
            </w:pPr>
            <w:r>
              <w:t>0</w:t>
            </w:r>
          </w:p>
        </w:tc>
      </w:tr>
      <w:tr w:rsidR="00DB15E9" w14:paraId="1D7B0C5F"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077092FD"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04C3A2E5" w14:textId="77777777" w:rsidR="00DB15E9" w:rsidRDefault="0078312E">
            <w:pPr>
              <w:pStyle w:val="ESSPTableText"/>
              <w:keepNext w:val="0"/>
            </w:pPr>
            <w:r>
              <w:t>40</w:t>
            </w:r>
          </w:p>
        </w:tc>
        <w:tc>
          <w:tcPr>
            <w:tcW w:w="1540" w:type="dxa"/>
            <w:tcBorders>
              <w:top w:val="nil"/>
              <w:left w:val="nil"/>
              <w:bottom w:val="single" w:sz="4" w:space="0" w:color="auto"/>
              <w:right w:val="single" w:sz="4" w:space="0" w:color="auto"/>
            </w:tcBorders>
            <w:shd w:val="clear" w:color="auto" w:fill="auto"/>
            <w:noWrap/>
            <w:vAlign w:val="bottom"/>
            <w:hideMark/>
          </w:tcPr>
          <w:p w14:paraId="604CDA65" w14:textId="77777777" w:rsidR="00DB15E9" w:rsidRDefault="0078312E">
            <w:pPr>
              <w:pStyle w:val="ESSPTableText"/>
              <w:keepNext w:val="0"/>
            </w:pPr>
            <w:r>
              <w:t>7</w:t>
            </w:r>
          </w:p>
        </w:tc>
        <w:tc>
          <w:tcPr>
            <w:tcW w:w="1790" w:type="dxa"/>
            <w:tcBorders>
              <w:top w:val="nil"/>
              <w:left w:val="nil"/>
              <w:bottom w:val="single" w:sz="4" w:space="0" w:color="auto"/>
              <w:right w:val="single" w:sz="8" w:space="0" w:color="auto"/>
            </w:tcBorders>
            <w:shd w:val="clear" w:color="auto" w:fill="auto"/>
            <w:noWrap/>
            <w:vAlign w:val="bottom"/>
            <w:hideMark/>
          </w:tcPr>
          <w:p w14:paraId="7F633F29" w14:textId="77777777" w:rsidR="00DB15E9" w:rsidRDefault="0078312E">
            <w:pPr>
              <w:pStyle w:val="ESSPTableText"/>
              <w:keepNext w:val="0"/>
            </w:pPr>
            <w:r>
              <w:t>15</w:t>
            </w:r>
          </w:p>
        </w:tc>
      </w:tr>
      <w:tr w:rsidR="00DB15E9" w14:paraId="7AF7B5D0"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4965163"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65BCF145" w14:textId="77777777" w:rsidR="00DB15E9" w:rsidRDefault="0078312E">
            <w:pPr>
              <w:pStyle w:val="ESSPTableText"/>
              <w:keepNext w:val="0"/>
            </w:pPr>
            <w:r>
              <w:t>30</w:t>
            </w:r>
          </w:p>
        </w:tc>
        <w:tc>
          <w:tcPr>
            <w:tcW w:w="1540" w:type="dxa"/>
            <w:tcBorders>
              <w:top w:val="nil"/>
              <w:left w:val="nil"/>
              <w:bottom w:val="single" w:sz="4" w:space="0" w:color="auto"/>
              <w:right w:val="single" w:sz="4" w:space="0" w:color="auto"/>
            </w:tcBorders>
            <w:shd w:val="clear" w:color="auto" w:fill="auto"/>
            <w:noWrap/>
            <w:vAlign w:val="bottom"/>
            <w:hideMark/>
          </w:tcPr>
          <w:p w14:paraId="1C80C7A6" w14:textId="77777777" w:rsidR="00DB15E9" w:rsidRDefault="0078312E">
            <w:pPr>
              <w:pStyle w:val="ESSPTableText"/>
              <w:keepNext w:val="0"/>
            </w:pPr>
            <w:r>
              <w:t>14</w:t>
            </w:r>
          </w:p>
        </w:tc>
        <w:tc>
          <w:tcPr>
            <w:tcW w:w="1790" w:type="dxa"/>
            <w:tcBorders>
              <w:top w:val="nil"/>
              <w:left w:val="nil"/>
              <w:bottom w:val="single" w:sz="4" w:space="0" w:color="auto"/>
              <w:right w:val="single" w:sz="8" w:space="0" w:color="auto"/>
            </w:tcBorders>
            <w:shd w:val="clear" w:color="auto" w:fill="auto"/>
            <w:noWrap/>
            <w:vAlign w:val="bottom"/>
            <w:hideMark/>
          </w:tcPr>
          <w:p w14:paraId="1377EE25" w14:textId="77777777" w:rsidR="00DB15E9" w:rsidRDefault="0078312E">
            <w:pPr>
              <w:pStyle w:val="ESSPTableText"/>
              <w:keepNext w:val="0"/>
            </w:pPr>
            <w:r>
              <w:t>28</w:t>
            </w:r>
          </w:p>
        </w:tc>
      </w:tr>
      <w:tr w:rsidR="00DB15E9" w14:paraId="2BA8D559"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0C06EB7F"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00850F3A" w14:textId="77777777" w:rsidR="00DB15E9" w:rsidRDefault="0078312E">
            <w:pPr>
              <w:pStyle w:val="ESSPTableText"/>
              <w:keepNext w:val="0"/>
            </w:pPr>
            <w:r>
              <w:t>20</w:t>
            </w:r>
          </w:p>
        </w:tc>
        <w:tc>
          <w:tcPr>
            <w:tcW w:w="1540" w:type="dxa"/>
            <w:tcBorders>
              <w:top w:val="nil"/>
              <w:left w:val="nil"/>
              <w:bottom w:val="single" w:sz="4" w:space="0" w:color="auto"/>
              <w:right w:val="single" w:sz="4" w:space="0" w:color="auto"/>
            </w:tcBorders>
            <w:shd w:val="clear" w:color="auto" w:fill="auto"/>
            <w:noWrap/>
            <w:vAlign w:val="bottom"/>
            <w:hideMark/>
          </w:tcPr>
          <w:p w14:paraId="0BA5DE5E" w14:textId="77777777" w:rsidR="00DB15E9" w:rsidRDefault="0078312E">
            <w:pPr>
              <w:pStyle w:val="ESSPTableText"/>
              <w:keepNext w:val="0"/>
            </w:pPr>
            <w:r>
              <w:t>20</w:t>
            </w:r>
          </w:p>
        </w:tc>
        <w:tc>
          <w:tcPr>
            <w:tcW w:w="1790" w:type="dxa"/>
            <w:tcBorders>
              <w:top w:val="nil"/>
              <w:left w:val="nil"/>
              <w:bottom w:val="single" w:sz="4" w:space="0" w:color="auto"/>
              <w:right w:val="single" w:sz="8" w:space="0" w:color="auto"/>
            </w:tcBorders>
            <w:shd w:val="clear" w:color="auto" w:fill="auto"/>
            <w:noWrap/>
            <w:vAlign w:val="bottom"/>
            <w:hideMark/>
          </w:tcPr>
          <w:p w14:paraId="75507BC3" w14:textId="77777777" w:rsidR="00DB15E9" w:rsidRDefault="0078312E">
            <w:pPr>
              <w:pStyle w:val="ESSPTableText"/>
              <w:keepNext w:val="0"/>
            </w:pPr>
            <w:r>
              <w:t>40</w:t>
            </w:r>
          </w:p>
        </w:tc>
      </w:tr>
      <w:tr w:rsidR="00DB15E9" w14:paraId="494311B7"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070D8FFA"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2E5918BA" w14:textId="77777777" w:rsidR="00DB15E9" w:rsidRDefault="0078312E">
            <w:pPr>
              <w:pStyle w:val="ESSPTableText"/>
              <w:keepNext w:val="0"/>
            </w:pPr>
            <w:r>
              <w:t>10</w:t>
            </w:r>
          </w:p>
        </w:tc>
        <w:tc>
          <w:tcPr>
            <w:tcW w:w="1540" w:type="dxa"/>
            <w:tcBorders>
              <w:top w:val="nil"/>
              <w:left w:val="nil"/>
              <w:bottom w:val="single" w:sz="4" w:space="0" w:color="auto"/>
              <w:right w:val="single" w:sz="4" w:space="0" w:color="auto"/>
            </w:tcBorders>
            <w:shd w:val="clear" w:color="auto" w:fill="auto"/>
            <w:noWrap/>
            <w:vAlign w:val="bottom"/>
            <w:hideMark/>
          </w:tcPr>
          <w:p w14:paraId="2B16662C" w14:textId="77777777" w:rsidR="00DB15E9" w:rsidRDefault="0078312E">
            <w:pPr>
              <w:pStyle w:val="ESSPTableText"/>
              <w:keepNext w:val="0"/>
            </w:pPr>
            <w:r>
              <w:t>25</w:t>
            </w:r>
          </w:p>
        </w:tc>
        <w:tc>
          <w:tcPr>
            <w:tcW w:w="1790" w:type="dxa"/>
            <w:tcBorders>
              <w:top w:val="nil"/>
              <w:left w:val="nil"/>
              <w:bottom w:val="single" w:sz="4" w:space="0" w:color="auto"/>
              <w:right w:val="single" w:sz="8" w:space="0" w:color="auto"/>
            </w:tcBorders>
            <w:shd w:val="clear" w:color="auto" w:fill="auto"/>
            <w:noWrap/>
            <w:vAlign w:val="bottom"/>
            <w:hideMark/>
          </w:tcPr>
          <w:p w14:paraId="155A6E38" w14:textId="77777777" w:rsidR="00DB15E9" w:rsidRDefault="0078312E">
            <w:pPr>
              <w:pStyle w:val="ESSPTableText"/>
              <w:keepNext w:val="0"/>
            </w:pPr>
            <w:r>
              <w:t>51</w:t>
            </w:r>
          </w:p>
        </w:tc>
      </w:tr>
      <w:tr w:rsidR="00DB15E9" w14:paraId="5A178F8D"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2D0B7C3D"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2CA9F313" w14:textId="77777777" w:rsidR="00DB15E9" w:rsidRDefault="0078312E">
            <w:pPr>
              <w:pStyle w:val="ESSPTableText"/>
              <w:keepNext w:val="0"/>
            </w:pPr>
            <w:r>
              <w:t>0</w:t>
            </w:r>
          </w:p>
        </w:tc>
        <w:tc>
          <w:tcPr>
            <w:tcW w:w="1540" w:type="dxa"/>
            <w:tcBorders>
              <w:top w:val="nil"/>
              <w:left w:val="nil"/>
              <w:bottom w:val="single" w:sz="4" w:space="0" w:color="auto"/>
              <w:right w:val="single" w:sz="4" w:space="0" w:color="auto"/>
            </w:tcBorders>
            <w:shd w:val="clear" w:color="auto" w:fill="auto"/>
            <w:noWrap/>
            <w:vAlign w:val="bottom"/>
            <w:hideMark/>
          </w:tcPr>
          <w:p w14:paraId="0EDEDB40" w14:textId="77777777" w:rsidR="00DB15E9" w:rsidRDefault="0078312E">
            <w:pPr>
              <w:pStyle w:val="ESSPTableText"/>
              <w:keepNext w:val="0"/>
            </w:pPr>
            <w:r>
              <w:t>30</w:t>
            </w:r>
          </w:p>
        </w:tc>
        <w:tc>
          <w:tcPr>
            <w:tcW w:w="1790" w:type="dxa"/>
            <w:tcBorders>
              <w:top w:val="nil"/>
              <w:left w:val="nil"/>
              <w:bottom w:val="single" w:sz="4" w:space="0" w:color="auto"/>
              <w:right w:val="single" w:sz="8" w:space="0" w:color="auto"/>
            </w:tcBorders>
            <w:shd w:val="clear" w:color="auto" w:fill="auto"/>
            <w:noWrap/>
            <w:vAlign w:val="bottom"/>
            <w:hideMark/>
          </w:tcPr>
          <w:p w14:paraId="168DD455" w14:textId="77777777" w:rsidR="00DB15E9" w:rsidRDefault="0078312E">
            <w:pPr>
              <w:pStyle w:val="ESSPTableText"/>
              <w:keepNext w:val="0"/>
            </w:pPr>
            <w:r>
              <w:t>60</w:t>
            </w:r>
          </w:p>
        </w:tc>
      </w:tr>
      <w:tr w:rsidR="00DB15E9" w14:paraId="5860604A"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54EB09C9" w14:textId="77777777" w:rsidR="00DB15E9" w:rsidRDefault="0078312E">
            <w:pPr>
              <w:pStyle w:val="ESSPTableText"/>
              <w:keepNext w:val="0"/>
            </w:pPr>
            <w:r>
              <w:lastRenderedPageBreak/>
              <w:t>50</w:t>
            </w:r>
          </w:p>
        </w:tc>
        <w:tc>
          <w:tcPr>
            <w:tcW w:w="1575" w:type="dxa"/>
            <w:tcBorders>
              <w:top w:val="nil"/>
              <w:left w:val="nil"/>
              <w:bottom w:val="single" w:sz="4" w:space="0" w:color="auto"/>
              <w:right w:val="single" w:sz="4" w:space="0" w:color="auto"/>
            </w:tcBorders>
            <w:shd w:val="clear" w:color="auto" w:fill="auto"/>
            <w:noWrap/>
            <w:vAlign w:val="bottom"/>
            <w:hideMark/>
          </w:tcPr>
          <w:p w14:paraId="57E33DA2" w14:textId="77777777" w:rsidR="00DB15E9" w:rsidRDefault="0078312E">
            <w:pPr>
              <w:pStyle w:val="ESSPTableText"/>
              <w:keepNext w:val="0"/>
            </w:pPr>
            <w:r>
              <w:t>-10</w:t>
            </w:r>
          </w:p>
        </w:tc>
        <w:tc>
          <w:tcPr>
            <w:tcW w:w="1540" w:type="dxa"/>
            <w:tcBorders>
              <w:top w:val="nil"/>
              <w:left w:val="nil"/>
              <w:bottom w:val="single" w:sz="4" w:space="0" w:color="auto"/>
              <w:right w:val="single" w:sz="4" w:space="0" w:color="auto"/>
            </w:tcBorders>
            <w:shd w:val="clear" w:color="auto" w:fill="auto"/>
            <w:noWrap/>
            <w:vAlign w:val="bottom"/>
            <w:hideMark/>
          </w:tcPr>
          <w:p w14:paraId="43C052FB" w14:textId="77777777" w:rsidR="00DB15E9" w:rsidRDefault="0078312E">
            <w:pPr>
              <w:pStyle w:val="ESSPTableText"/>
              <w:keepNext w:val="0"/>
            </w:pPr>
            <w:r>
              <w:t>35</w:t>
            </w:r>
          </w:p>
        </w:tc>
        <w:tc>
          <w:tcPr>
            <w:tcW w:w="1790" w:type="dxa"/>
            <w:tcBorders>
              <w:top w:val="nil"/>
              <w:left w:val="nil"/>
              <w:bottom w:val="single" w:sz="4" w:space="0" w:color="auto"/>
              <w:right w:val="single" w:sz="8" w:space="0" w:color="auto"/>
            </w:tcBorders>
            <w:shd w:val="clear" w:color="auto" w:fill="auto"/>
            <w:noWrap/>
            <w:vAlign w:val="bottom"/>
            <w:hideMark/>
          </w:tcPr>
          <w:p w14:paraId="443C4CF0" w14:textId="77777777" w:rsidR="00DB15E9" w:rsidRDefault="0078312E">
            <w:pPr>
              <w:pStyle w:val="ESSPTableText"/>
              <w:keepNext w:val="0"/>
            </w:pPr>
            <w:r>
              <w:t>69</w:t>
            </w:r>
          </w:p>
        </w:tc>
      </w:tr>
      <w:tr w:rsidR="00DB15E9" w14:paraId="4C8B9A64"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045ACD34"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2A7F00F5" w14:textId="77777777" w:rsidR="00DB15E9" w:rsidRDefault="0078312E">
            <w:pPr>
              <w:pStyle w:val="ESSPTableText"/>
              <w:keepNext w:val="0"/>
            </w:pPr>
            <w:r>
              <w:t>-20</w:t>
            </w:r>
          </w:p>
        </w:tc>
        <w:tc>
          <w:tcPr>
            <w:tcW w:w="1540" w:type="dxa"/>
            <w:tcBorders>
              <w:top w:val="nil"/>
              <w:left w:val="nil"/>
              <w:bottom w:val="single" w:sz="4" w:space="0" w:color="auto"/>
              <w:right w:val="single" w:sz="4" w:space="0" w:color="auto"/>
            </w:tcBorders>
            <w:shd w:val="clear" w:color="auto" w:fill="auto"/>
            <w:noWrap/>
            <w:vAlign w:val="bottom"/>
            <w:hideMark/>
          </w:tcPr>
          <w:p w14:paraId="65549244" w14:textId="77777777" w:rsidR="00DB15E9" w:rsidRDefault="0078312E">
            <w:pPr>
              <w:pStyle w:val="ESSPTableText"/>
              <w:keepNext w:val="0"/>
            </w:pPr>
            <w:r>
              <w:t>38</w:t>
            </w:r>
          </w:p>
        </w:tc>
        <w:tc>
          <w:tcPr>
            <w:tcW w:w="1790" w:type="dxa"/>
            <w:tcBorders>
              <w:top w:val="nil"/>
              <w:left w:val="nil"/>
              <w:bottom w:val="single" w:sz="4" w:space="0" w:color="auto"/>
              <w:right w:val="single" w:sz="8" w:space="0" w:color="auto"/>
            </w:tcBorders>
            <w:shd w:val="clear" w:color="auto" w:fill="auto"/>
            <w:noWrap/>
            <w:vAlign w:val="bottom"/>
            <w:hideMark/>
          </w:tcPr>
          <w:p w14:paraId="787C1DAE" w14:textId="77777777" w:rsidR="00DB15E9" w:rsidRDefault="0078312E">
            <w:pPr>
              <w:pStyle w:val="ESSPTableText"/>
              <w:keepNext w:val="0"/>
            </w:pPr>
            <w:r>
              <w:t>77</w:t>
            </w:r>
          </w:p>
        </w:tc>
      </w:tr>
      <w:tr w:rsidR="00DB15E9" w14:paraId="58BC8CAA"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22AEC3AC"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2595730E" w14:textId="77777777" w:rsidR="00DB15E9" w:rsidRDefault="0078312E">
            <w:pPr>
              <w:pStyle w:val="ESSPTableText"/>
              <w:keepNext w:val="0"/>
            </w:pPr>
            <w:r>
              <w:t>-30</w:t>
            </w:r>
          </w:p>
        </w:tc>
        <w:tc>
          <w:tcPr>
            <w:tcW w:w="1540" w:type="dxa"/>
            <w:tcBorders>
              <w:top w:val="nil"/>
              <w:left w:val="nil"/>
              <w:bottom w:val="single" w:sz="4" w:space="0" w:color="auto"/>
              <w:right w:val="single" w:sz="4" w:space="0" w:color="auto"/>
            </w:tcBorders>
            <w:shd w:val="clear" w:color="auto" w:fill="auto"/>
            <w:noWrap/>
            <w:vAlign w:val="bottom"/>
            <w:hideMark/>
          </w:tcPr>
          <w:p w14:paraId="716BA431" w14:textId="77777777" w:rsidR="00DB15E9" w:rsidRDefault="0078312E">
            <w:pPr>
              <w:pStyle w:val="ESSPTableText"/>
              <w:keepNext w:val="0"/>
            </w:pPr>
            <w:r>
              <w:t>42</w:t>
            </w:r>
          </w:p>
        </w:tc>
        <w:tc>
          <w:tcPr>
            <w:tcW w:w="1790" w:type="dxa"/>
            <w:tcBorders>
              <w:top w:val="nil"/>
              <w:left w:val="nil"/>
              <w:bottom w:val="single" w:sz="4" w:space="0" w:color="auto"/>
              <w:right w:val="single" w:sz="8" w:space="0" w:color="auto"/>
            </w:tcBorders>
            <w:shd w:val="clear" w:color="auto" w:fill="auto"/>
            <w:noWrap/>
            <w:vAlign w:val="bottom"/>
            <w:hideMark/>
          </w:tcPr>
          <w:p w14:paraId="4986F046" w14:textId="77777777" w:rsidR="00DB15E9" w:rsidRDefault="0078312E">
            <w:pPr>
              <w:pStyle w:val="ESSPTableText"/>
              <w:keepNext w:val="0"/>
            </w:pPr>
            <w:r>
              <w:t>84</w:t>
            </w:r>
          </w:p>
        </w:tc>
      </w:tr>
      <w:tr w:rsidR="00DB15E9" w14:paraId="49E4AD26"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546D2A6D"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7B017B2D" w14:textId="77777777" w:rsidR="00DB15E9" w:rsidRDefault="0078312E">
            <w:pPr>
              <w:pStyle w:val="ESSPTableText"/>
              <w:keepNext w:val="0"/>
            </w:pPr>
            <w:r>
              <w:t>-40</w:t>
            </w:r>
          </w:p>
        </w:tc>
        <w:tc>
          <w:tcPr>
            <w:tcW w:w="1540" w:type="dxa"/>
            <w:tcBorders>
              <w:top w:val="nil"/>
              <w:left w:val="nil"/>
              <w:bottom w:val="single" w:sz="4" w:space="0" w:color="auto"/>
              <w:right w:val="single" w:sz="4" w:space="0" w:color="auto"/>
            </w:tcBorders>
            <w:shd w:val="clear" w:color="auto" w:fill="auto"/>
            <w:noWrap/>
            <w:vAlign w:val="bottom"/>
            <w:hideMark/>
          </w:tcPr>
          <w:p w14:paraId="02DF568D" w14:textId="77777777" w:rsidR="00DB15E9" w:rsidRDefault="0078312E">
            <w:pPr>
              <w:pStyle w:val="ESSPTableText"/>
              <w:keepNext w:val="0"/>
            </w:pPr>
            <w:r>
              <w:t>45</w:t>
            </w:r>
          </w:p>
        </w:tc>
        <w:tc>
          <w:tcPr>
            <w:tcW w:w="1790" w:type="dxa"/>
            <w:tcBorders>
              <w:top w:val="nil"/>
              <w:left w:val="nil"/>
              <w:bottom w:val="single" w:sz="4" w:space="0" w:color="auto"/>
              <w:right w:val="single" w:sz="8" w:space="0" w:color="auto"/>
            </w:tcBorders>
            <w:shd w:val="clear" w:color="auto" w:fill="auto"/>
            <w:noWrap/>
            <w:vAlign w:val="bottom"/>
            <w:hideMark/>
          </w:tcPr>
          <w:p w14:paraId="4D081399" w14:textId="77777777" w:rsidR="00DB15E9" w:rsidRDefault="0078312E">
            <w:pPr>
              <w:pStyle w:val="ESSPTableText"/>
              <w:keepNext w:val="0"/>
            </w:pPr>
            <w:r>
              <w:t>90</w:t>
            </w:r>
          </w:p>
        </w:tc>
      </w:tr>
      <w:tr w:rsidR="00DB15E9" w14:paraId="53A893DC"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64D3701B" w14:textId="77777777" w:rsidR="00DB15E9" w:rsidRDefault="0078312E">
            <w:pPr>
              <w:pStyle w:val="ESSPTableText"/>
              <w:keepNext w:val="0"/>
            </w:pPr>
            <w:r>
              <w:t>50</w:t>
            </w:r>
          </w:p>
        </w:tc>
        <w:tc>
          <w:tcPr>
            <w:tcW w:w="1575" w:type="dxa"/>
            <w:tcBorders>
              <w:top w:val="nil"/>
              <w:left w:val="nil"/>
              <w:bottom w:val="single" w:sz="4" w:space="0" w:color="auto"/>
              <w:right w:val="single" w:sz="4" w:space="0" w:color="auto"/>
            </w:tcBorders>
            <w:shd w:val="clear" w:color="auto" w:fill="auto"/>
            <w:noWrap/>
            <w:vAlign w:val="bottom"/>
            <w:hideMark/>
          </w:tcPr>
          <w:p w14:paraId="1E80ABD4" w14:textId="77777777" w:rsidR="00DB15E9" w:rsidRDefault="0078312E">
            <w:pPr>
              <w:pStyle w:val="ESSPTableText"/>
              <w:keepNext w:val="0"/>
            </w:pPr>
            <w:r>
              <w:t>-50</w:t>
            </w:r>
          </w:p>
        </w:tc>
        <w:tc>
          <w:tcPr>
            <w:tcW w:w="1540" w:type="dxa"/>
            <w:tcBorders>
              <w:top w:val="nil"/>
              <w:left w:val="nil"/>
              <w:bottom w:val="single" w:sz="4" w:space="0" w:color="auto"/>
              <w:right w:val="single" w:sz="4" w:space="0" w:color="auto"/>
            </w:tcBorders>
            <w:shd w:val="clear" w:color="auto" w:fill="auto"/>
            <w:noWrap/>
            <w:vAlign w:val="bottom"/>
            <w:hideMark/>
          </w:tcPr>
          <w:p w14:paraId="494CACB2" w14:textId="77777777" w:rsidR="00DB15E9" w:rsidRDefault="0078312E">
            <w:pPr>
              <w:pStyle w:val="ESSPTableText"/>
              <w:keepNext w:val="0"/>
            </w:pPr>
            <w:r>
              <w:t>48</w:t>
            </w:r>
          </w:p>
        </w:tc>
        <w:tc>
          <w:tcPr>
            <w:tcW w:w="1790" w:type="dxa"/>
            <w:tcBorders>
              <w:top w:val="nil"/>
              <w:left w:val="nil"/>
              <w:bottom w:val="single" w:sz="4" w:space="0" w:color="auto"/>
              <w:right w:val="single" w:sz="8" w:space="0" w:color="auto"/>
            </w:tcBorders>
            <w:shd w:val="clear" w:color="auto" w:fill="auto"/>
            <w:noWrap/>
            <w:vAlign w:val="bottom"/>
            <w:hideMark/>
          </w:tcPr>
          <w:p w14:paraId="1D8A09D9" w14:textId="77777777" w:rsidR="00DB15E9" w:rsidRDefault="0078312E">
            <w:pPr>
              <w:pStyle w:val="ESSPTableText"/>
              <w:keepNext w:val="0"/>
            </w:pPr>
            <w:r>
              <w:t>95</w:t>
            </w:r>
          </w:p>
        </w:tc>
      </w:tr>
      <w:tr w:rsidR="00DB15E9" w14:paraId="674CA5FA" w14:textId="77777777">
        <w:trPr>
          <w:trHeight w:val="288"/>
          <w:jc w:val="center"/>
        </w:trPr>
        <w:tc>
          <w:tcPr>
            <w:tcW w:w="1620" w:type="dxa"/>
            <w:tcBorders>
              <w:top w:val="nil"/>
              <w:left w:val="single" w:sz="8" w:space="0" w:color="auto"/>
              <w:bottom w:val="nil"/>
              <w:right w:val="single" w:sz="4" w:space="0" w:color="auto"/>
            </w:tcBorders>
            <w:shd w:val="clear" w:color="auto" w:fill="auto"/>
            <w:noWrap/>
            <w:vAlign w:val="bottom"/>
            <w:hideMark/>
          </w:tcPr>
          <w:p w14:paraId="053D4A73" w14:textId="77777777" w:rsidR="00DB15E9" w:rsidRDefault="0078312E">
            <w:pPr>
              <w:pStyle w:val="ESSPTableText"/>
              <w:keepNext w:val="0"/>
            </w:pPr>
            <w:r>
              <w:t>50</w:t>
            </w:r>
          </w:p>
        </w:tc>
        <w:tc>
          <w:tcPr>
            <w:tcW w:w="1575" w:type="dxa"/>
            <w:tcBorders>
              <w:top w:val="nil"/>
              <w:left w:val="nil"/>
              <w:bottom w:val="nil"/>
              <w:right w:val="single" w:sz="4" w:space="0" w:color="auto"/>
            </w:tcBorders>
            <w:shd w:val="clear" w:color="auto" w:fill="auto"/>
            <w:noWrap/>
            <w:vAlign w:val="bottom"/>
            <w:hideMark/>
          </w:tcPr>
          <w:p w14:paraId="1B5DC3FE" w14:textId="77777777" w:rsidR="00DB15E9" w:rsidRDefault="0078312E">
            <w:pPr>
              <w:pStyle w:val="ESSPTableText"/>
              <w:keepNext w:val="0"/>
            </w:pPr>
            <w:r>
              <w:t>-60</w:t>
            </w:r>
          </w:p>
        </w:tc>
        <w:tc>
          <w:tcPr>
            <w:tcW w:w="1540" w:type="dxa"/>
            <w:tcBorders>
              <w:top w:val="nil"/>
              <w:left w:val="nil"/>
              <w:bottom w:val="nil"/>
              <w:right w:val="single" w:sz="4" w:space="0" w:color="auto"/>
            </w:tcBorders>
            <w:shd w:val="clear" w:color="auto" w:fill="auto"/>
            <w:noWrap/>
            <w:vAlign w:val="bottom"/>
            <w:hideMark/>
          </w:tcPr>
          <w:p w14:paraId="7734B32C" w14:textId="77777777" w:rsidR="00DB15E9" w:rsidRDefault="0078312E">
            <w:pPr>
              <w:pStyle w:val="ESSPTableText"/>
              <w:keepNext w:val="0"/>
            </w:pPr>
            <w:r>
              <w:t>50</w:t>
            </w:r>
          </w:p>
        </w:tc>
        <w:tc>
          <w:tcPr>
            <w:tcW w:w="1790" w:type="dxa"/>
            <w:tcBorders>
              <w:top w:val="nil"/>
              <w:left w:val="nil"/>
              <w:bottom w:val="nil"/>
              <w:right w:val="single" w:sz="8" w:space="0" w:color="auto"/>
            </w:tcBorders>
            <w:shd w:val="clear" w:color="auto" w:fill="auto"/>
            <w:noWrap/>
            <w:vAlign w:val="bottom"/>
            <w:hideMark/>
          </w:tcPr>
          <w:p w14:paraId="3BCA9F43" w14:textId="77777777" w:rsidR="00DB15E9" w:rsidRDefault="0078312E">
            <w:pPr>
              <w:pStyle w:val="ESSPTableText"/>
              <w:keepNext w:val="0"/>
            </w:pPr>
            <w:r>
              <w:t>100</w:t>
            </w:r>
          </w:p>
        </w:tc>
      </w:tr>
      <w:tr w:rsidR="00DB15E9" w14:paraId="166ACC8A" w14:textId="77777777">
        <w:trPr>
          <w:trHeight w:val="288"/>
          <w:jc w:val="center"/>
        </w:trPr>
        <w:tc>
          <w:tcPr>
            <w:tcW w:w="16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886375" w14:textId="77777777" w:rsidR="00DB15E9" w:rsidRDefault="00DB15E9">
            <w:pPr>
              <w:pStyle w:val="ESSPTableText"/>
              <w:keepNext w:val="0"/>
            </w:pP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14:paraId="455C27BE" w14:textId="77777777" w:rsidR="00DB15E9" w:rsidRDefault="00DB15E9">
            <w:pPr>
              <w:pStyle w:val="ESSPTableText"/>
              <w:keepNext w:val="0"/>
            </w:pP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6D6C41" w14:textId="77777777" w:rsidR="00DB15E9" w:rsidRDefault="00DB15E9">
            <w:pPr>
              <w:pStyle w:val="ESSPTableText"/>
              <w:keepNext w:val="0"/>
            </w:pPr>
          </w:p>
        </w:tc>
        <w:tc>
          <w:tcPr>
            <w:tcW w:w="1790" w:type="dxa"/>
            <w:tcBorders>
              <w:top w:val="single" w:sz="4" w:space="0" w:color="auto"/>
              <w:left w:val="nil"/>
              <w:bottom w:val="single" w:sz="4" w:space="0" w:color="auto"/>
              <w:right w:val="single" w:sz="8" w:space="0" w:color="auto"/>
            </w:tcBorders>
            <w:shd w:val="clear" w:color="auto" w:fill="auto"/>
            <w:noWrap/>
            <w:vAlign w:val="bottom"/>
            <w:hideMark/>
          </w:tcPr>
          <w:p w14:paraId="2FDEEE5A" w14:textId="77777777" w:rsidR="00DB15E9" w:rsidRDefault="00DB15E9">
            <w:pPr>
              <w:pStyle w:val="ESSPTableText"/>
              <w:keepNext w:val="0"/>
            </w:pPr>
          </w:p>
        </w:tc>
      </w:tr>
      <w:tr w:rsidR="00DB15E9" w14:paraId="5A8DEBD6"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A357572"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0FE74972" w14:textId="77777777" w:rsidR="00DB15E9" w:rsidRDefault="0078312E">
            <w:pPr>
              <w:pStyle w:val="ESSPTableText"/>
              <w:keepNext w:val="0"/>
            </w:pPr>
            <w:r>
              <w:t>50</w:t>
            </w:r>
          </w:p>
        </w:tc>
        <w:tc>
          <w:tcPr>
            <w:tcW w:w="1540" w:type="dxa"/>
            <w:tcBorders>
              <w:top w:val="nil"/>
              <w:left w:val="nil"/>
              <w:bottom w:val="single" w:sz="4" w:space="0" w:color="auto"/>
              <w:right w:val="single" w:sz="4" w:space="0" w:color="auto"/>
            </w:tcBorders>
            <w:shd w:val="clear" w:color="auto" w:fill="auto"/>
            <w:noWrap/>
            <w:vAlign w:val="bottom"/>
            <w:hideMark/>
          </w:tcPr>
          <w:p w14:paraId="36F94247" w14:textId="77777777" w:rsidR="00DB15E9" w:rsidRDefault="0078312E">
            <w:pPr>
              <w:pStyle w:val="ESSPTableText"/>
              <w:keepNext w:val="0"/>
            </w:pPr>
            <w:r>
              <w:t>48</w:t>
            </w:r>
          </w:p>
        </w:tc>
        <w:tc>
          <w:tcPr>
            <w:tcW w:w="1790" w:type="dxa"/>
            <w:tcBorders>
              <w:top w:val="nil"/>
              <w:left w:val="nil"/>
              <w:bottom w:val="single" w:sz="4" w:space="0" w:color="auto"/>
              <w:right w:val="single" w:sz="8" w:space="0" w:color="auto"/>
            </w:tcBorders>
            <w:shd w:val="clear" w:color="auto" w:fill="auto"/>
            <w:noWrap/>
            <w:vAlign w:val="bottom"/>
            <w:hideMark/>
          </w:tcPr>
          <w:p w14:paraId="1370698C" w14:textId="77777777" w:rsidR="00DB15E9" w:rsidRDefault="0078312E">
            <w:pPr>
              <w:pStyle w:val="ESSPTableText"/>
              <w:keepNext w:val="0"/>
            </w:pPr>
            <w:r>
              <w:t>96</w:t>
            </w:r>
          </w:p>
        </w:tc>
      </w:tr>
      <w:tr w:rsidR="00DB15E9" w14:paraId="4EEF3A07"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19D51A1"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5B513BA5" w14:textId="77777777" w:rsidR="00DB15E9" w:rsidRDefault="0078312E">
            <w:pPr>
              <w:pStyle w:val="ESSPTableText"/>
              <w:keepNext w:val="0"/>
            </w:pPr>
            <w:r>
              <w:t>40</w:t>
            </w:r>
          </w:p>
        </w:tc>
        <w:tc>
          <w:tcPr>
            <w:tcW w:w="1540" w:type="dxa"/>
            <w:tcBorders>
              <w:top w:val="nil"/>
              <w:left w:val="nil"/>
              <w:bottom w:val="single" w:sz="4" w:space="0" w:color="auto"/>
              <w:right w:val="single" w:sz="4" w:space="0" w:color="auto"/>
            </w:tcBorders>
            <w:shd w:val="clear" w:color="auto" w:fill="auto"/>
            <w:noWrap/>
            <w:vAlign w:val="bottom"/>
            <w:hideMark/>
          </w:tcPr>
          <w:p w14:paraId="5669FE95" w14:textId="77777777" w:rsidR="00DB15E9" w:rsidRDefault="0078312E">
            <w:pPr>
              <w:pStyle w:val="ESSPTableText"/>
              <w:keepNext w:val="0"/>
            </w:pPr>
            <w:r>
              <w:t>55</w:t>
            </w:r>
          </w:p>
        </w:tc>
        <w:tc>
          <w:tcPr>
            <w:tcW w:w="1790" w:type="dxa"/>
            <w:tcBorders>
              <w:top w:val="nil"/>
              <w:left w:val="nil"/>
              <w:bottom w:val="single" w:sz="4" w:space="0" w:color="auto"/>
              <w:right w:val="single" w:sz="8" w:space="0" w:color="auto"/>
            </w:tcBorders>
            <w:shd w:val="clear" w:color="auto" w:fill="auto"/>
            <w:noWrap/>
            <w:vAlign w:val="bottom"/>
            <w:hideMark/>
          </w:tcPr>
          <w:p w14:paraId="3B588B92" w14:textId="77777777" w:rsidR="00DB15E9" w:rsidRDefault="0078312E">
            <w:pPr>
              <w:pStyle w:val="ESSPTableText"/>
              <w:keepNext w:val="0"/>
            </w:pPr>
            <w:r>
              <w:t>110</w:t>
            </w:r>
          </w:p>
        </w:tc>
      </w:tr>
      <w:tr w:rsidR="00DB15E9" w14:paraId="28104C1F"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4A91FE27"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5DCFEF50" w14:textId="77777777" w:rsidR="00DB15E9" w:rsidRDefault="0078312E">
            <w:pPr>
              <w:pStyle w:val="ESSPTableText"/>
              <w:keepNext w:val="0"/>
            </w:pPr>
            <w:r>
              <w:t>30</w:t>
            </w:r>
          </w:p>
        </w:tc>
        <w:tc>
          <w:tcPr>
            <w:tcW w:w="1540" w:type="dxa"/>
            <w:tcBorders>
              <w:top w:val="nil"/>
              <w:left w:val="nil"/>
              <w:bottom w:val="single" w:sz="4" w:space="0" w:color="auto"/>
              <w:right w:val="single" w:sz="4" w:space="0" w:color="auto"/>
            </w:tcBorders>
            <w:shd w:val="clear" w:color="auto" w:fill="auto"/>
            <w:noWrap/>
            <w:vAlign w:val="bottom"/>
            <w:hideMark/>
          </w:tcPr>
          <w:p w14:paraId="0D1CC567" w14:textId="77777777" w:rsidR="00DB15E9" w:rsidRDefault="0078312E">
            <w:pPr>
              <w:pStyle w:val="ESSPTableText"/>
              <w:keepNext w:val="0"/>
            </w:pPr>
            <w:r>
              <w:t>62</w:t>
            </w:r>
          </w:p>
        </w:tc>
        <w:tc>
          <w:tcPr>
            <w:tcW w:w="1790" w:type="dxa"/>
            <w:tcBorders>
              <w:top w:val="nil"/>
              <w:left w:val="nil"/>
              <w:bottom w:val="single" w:sz="4" w:space="0" w:color="auto"/>
              <w:right w:val="single" w:sz="8" w:space="0" w:color="auto"/>
            </w:tcBorders>
            <w:shd w:val="clear" w:color="auto" w:fill="auto"/>
            <w:noWrap/>
            <w:vAlign w:val="bottom"/>
            <w:hideMark/>
          </w:tcPr>
          <w:p w14:paraId="23CDC521" w14:textId="77777777" w:rsidR="00DB15E9" w:rsidRDefault="0078312E">
            <w:pPr>
              <w:pStyle w:val="ESSPTableText"/>
              <w:keepNext w:val="0"/>
            </w:pPr>
            <w:r>
              <w:t>124</w:t>
            </w:r>
          </w:p>
        </w:tc>
      </w:tr>
      <w:tr w:rsidR="00DB15E9" w14:paraId="53B14D22"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444FF88"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360BB5B6" w14:textId="77777777" w:rsidR="00DB15E9" w:rsidRDefault="0078312E">
            <w:pPr>
              <w:pStyle w:val="ESSPTableText"/>
              <w:keepNext w:val="0"/>
            </w:pPr>
            <w:r>
              <w:t>20</w:t>
            </w:r>
          </w:p>
        </w:tc>
        <w:tc>
          <w:tcPr>
            <w:tcW w:w="1540" w:type="dxa"/>
            <w:tcBorders>
              <w:top w:val="nil"/>
              <w:left w:val="nil"/>
              <w:bottom w:val="single" w:sz="4" w:space="0" w:color="auto"/>
              <w:right w:val="single" w:sz="4" w:space="0" w:color="auto"/>
            </w:tcBorders>
            <w:shd w:val="clear" w:color="auto" w:fill="auto"/>
            <w:noWrap/>
            <w:vAlign w:val="bottom"/>
            <w:hideMark/>
          </w:tcPr>
          <w:p w14:paraId="7A46CE85" w14:textId="77777777" w:rsidR="00DB15E9" w:rsidRDefault="0078312E">
            <w:pPr>
              <w:pStyle w:val="ESSPTableText"/>
              <w:keepNext w:val="0"/>
            </w:pPr>
            <w:r>
              <w:t>68</w:t>
            </w:r>
          </w:p>
        </w:tc>
        <w:tc>
          <w:tcPr>
            <w:tcW w:w="1790" w:type="dxa"/>
            <w:tcBorders>
              <w:top w:val="nil"/>
              <w:left w:val="nil"/>
              <w:bottom w:val="single" w:sz="4" w:space="0" w:color="auto"/>
              <w:right w:val="single" w:sz="8" w:space="0" w:color="auto"/>
            </w:tcBorders>
            <w:shd w:val="clear" w:color="auto" w:fill="auto"/>
            <w:noWrap/>
            <w:vAlign w:val="bottom"/>
            <w:hideMark/>
          </w:tcPr>
          <w:p w14:paraId="096DC87E" w14:textId="77777777" w:rsidR="00DB15E9" w:rsidRDefault="0078312E">
            <w:pPr>
              <w:pStyle w:val="ESSPTableText"/>
              <w:keepNext w:val="0"/>
            </w:pPr>
            <w:r>
              <w:t>136</w:t>
            </w:r>
          </w:p>
        </w:tc>
      </w:tr>
      <w:tr w:rsidR="00DB15E9" w14:paraId="579C116B"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53E8F681"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2B4594F2" w14:textId="77777777" w:rsidR="00DB15E9" w:rsidRDefault="0078312E">
            <w:pPr>
              <w:pStyle w:val="ESSPTableText"/>
              <w:keepNext w:val="0"/>
            </w:pPr>
            <w:r>
              <w:t>10</w:t>
            </w:r>
          </w:p>
        </w:tc>
        <w:tc>
          <w:tcPr>
            <w:tcW w:w="1540" w:type="dxa"/>
            <w:tcBorders>
              <w:top w:val="nil"/>
              <w:left w:val="nil"/>
              <w:bottom w:val="single" w:sz="4" w:space="0" w:color="auto"/>
              <w:right w:val="single" w:sz="4" w:space="0" w:color="auto"/>
            </w:tcBorders>
            <w:shd w:val="clear" w:color="auto" w:fill="auto"/>
            <w:noWrap/>
            <w:vAlign w:val="bottom"/>
            <w:hideMark/>
          </w:tcPr>
          <w:p w14:paraId="276FD8D7" w14:textId="77777777" w:rsidR="00DB15E9" w:rsidRDefault="0078312E">
            <w:pPr>
              <w:pStyle w:val="ESSPTableText"/>
              <w:keepNext w:val="0"/>
            </w:pPr>
            <w:r>
              <w:t>73</w:t>
            </w:r>
          </w:p>
        </w:tc>
        <w:tc>
          <w:tcPr>
            <w:tcW w:w="1790" w:type="dxa"/>
            <w:tcBorders>
              <w:top w:val="nil"/>
              <w:left w:val="nil"/>
              <w:bottom w:val="single" w:sz="4" w:space="0" w:color="auto"/>
              <w:right w:val="single" w:sz="8" w:space="0" w:color="auto"/>
            </w:tcBorders>
            <w:shd w:val="clear" w:color="auto" w:fill="auto"/>
            <w:noWrap/>
            <w:vAlign w:val="bottom"/>
            <w:hideMark/>
          </w:tcPr>
          <w:p w14:paraId="08DE6A2E" w14:textId="77777777" w:rsidR="00DB15E9" w:rsidRDefault="0078312E">
            <w:pPr>
              <w:pStyle w:val="ESSPTableText"/>
              <w:keepNext w:val="0"/>
            </w:pPr>
            <w:r>
              <w:t>147</w:t>
            </w:r>
          </w:p>
        </w:tc>
      </w:tr>
      <w:tr w:rsidR="00DB15E9" w14:paraId="0201BF43"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955243E"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725C275A" w14:textId="77777777" w:rsidR="00DB15E9" w:rsidRDefault="0078312E">
            <w:pPr>
              <w:pStyle w:val="ESSPTableText"/>
              <w:keepNext w:val="0"/>
            </w:pPr>
            <w:r>
              <w:t>0</w:t>
            </w:r>
          </w:p>
        </w:tc>
        <w:tc>
          <w:tcPr>
            <w:tcW w:w="1540" w:type="dxa"/>
            <w:tcBorders>
              <w:top w:val="nil"/>
              <w:left w:val="nil"/>
              <w:bottom w:val="single" w:sz="4" w:space="0" w:color="auto"/>
              <w:right w:val="single" w:sz="4" w:space="0" w:color="auto"/>
            </w:tcBorders>
            <w:shd w:val="clear" w:color="auto" w:fill="auto"/>
            <w:noWrap/>
            <w:vAlign w:val="bottom"/>
            <w:hideMark/>
          </w:tcPr>
          <w:p w14:paraId="545E96D0" w14:textId="77777777" w:rsidR="00DB15E9" w:rsidRDefault="0078312E">
            <w:pPr>
              <w:pStyle w:val="ESSPTableText"/>
              <w:keepNext w:val="0"/>
            </w:pPr>
            <w:r>
              <w:t>78</w:t>
            </w:r>
          </w:p>
        </w:tc>
        <w:tc>
          <w:tcPr>
            <w:tcW w:w="1790" w:type="dxa"/>
            <w:tcBorders>
              <w:top w:val="nil"/>
              <w:left w:val="nil"/>
              <w:bottom w:val="single" w:sz="4" w:space="0" w:color="auto"/>
              <w:right w:val="single" w:sz="8" w:space="0" w:color="auto"/>
            </w:tcBorders>
            <w:shd w:val="clear" w:color="auto" w:fill="auto"/>
            <w:noWrap/>
            <w:vAlign w:val="bottom"/>
            <w:hideMark/>
          </w:tcPr>
          <w:p w14:paraId="4BCC91CA" w14:textId="77777777" w:rsidR="00DB15E9" w:rsidRDefault="0078312E">
            <w:pPr>
              <w:pStyle w:val="ESSPTableText"/>
              <w:keepNext w:val="0"/>
            </w:pPr>
            <w:r>
              <w:t>156</w:t>
            </w:r>
          </w:p>
        </w:tc>
      </w:tr>
      <w:tr w:rsidR="00DB15E9" w14:paraId="2413A765"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18132EC1"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32F56B8C" w14:textId="77777777" w:rsidR="00DB15E9" w:rsidRDefault="0078312E">
            <w:pPr>
              <w:pStyle w:val="ESSPTableText"/>
              <w:keepNext w:val="0"/>
            </w:pPr>
            <w:r>
              <w:t>-10</w:t>
            </w:r>
          </w:p>
        </w:tc>
        <w:tc>
          <w:tcPr>
            <w:tcW w:w="1540" w:type="dxa"/>
            <w:tcBorders>
              <w:top w:val="nil"/>
              <w:left w:val="nil"/>
              <w:bottom w:val="single" w:sz="4" w:space="0" w:color="auto"/>
              <w:right w:val="single" w:sz="4" w:space="0" w:color="auto"/>
            </w:tcBorders>
            <w:shd w:val="clear" w:color="auto" w:fill="auto"/>
            <w:noWrap/>
            <w:vAlign w:val="bottom"/>
            <w:hideMark/>
          </w:tcPr>
          <w:p w14:paraId="0C2BA4A4" w14:textId="77777777" w:rsidR="00DB15E9" w:rsidRDefault="0078312E">
            <w:pPr>
              <w:pStyle w:val="ESSPTableText"/>
              <w:keepNext w:val="0"/>
            </w:pPr>
            <w:r>
              <w:t>82</w:t>
            </w:r>
          </w:p>
        </w:tc>
        <w:tc>
          <w:tcPr>
            <w:tcW w:w="1790" w:type="dxa"/>
            <w:tcBorders>
              <w:top w:val="nil"/>
              <w:left w:val="nil"/>
              <w:bottom w:val="single" w:sz="4" w:space="0" w:color="auto"/>
              <w:right w:val="single" w:sz="8" w:space="0" w:color="auto"/>
            </w:tcBorders>
            <w:shd w:val="clear" w:color="auto" w:fill="auto"/>
            <w:noWrap/>
            <w:vAlign w:val="bottom"/>
            <w:hideMark/>
          </w:tcPr>
          <w:p w14:paraId="0157E5B3" w14:textId="77777777" w:rsidR="00DB15E9" w:rsidRDefault="0078312E">
            <w:pPr>
              <w:pStyle w:val="ESSPTableText"/>
              <w:keepNext w:val="0"/>
            </w:pPr>
            <w:r>
              <w:t>165</w:t>
            </w:r>
          </w:p>
        </w:tc>
      </w:tr>
      <w:tr w:rsidR="00DB15E9" w14:paraId="256D79B6"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21099D58"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08E5FB2C" w14:textId="77777777" w:rsidR="00DB15E9" w:rsidRDefault="0078312E">
            <w:pPr>
              <w:pStyle w:val="ESSPTableText"/>
              <w:keepNext w:val="0"/>
            </w:pPr>
            <w:r>
              <w:t>-20</w:t>
            </w:r>
          </w:p>
        </w:tc>
        <w:tc>
          <w:tcPr>
            <w:tcW w:w="1540" w:type="dxa"/>
            <w:tcBorders>
              <w:top w:val="nil"/>
              <w:left w:val="nil"/>
              <w:bottom w:val="single" w:sz="4" w:space="0" w:color="auto"/>
              <w:right w:val="single" w:sz="4" w:space="0" w:color="auto"/>
            </w:tcBorders>
            <w:shd w:val="clear" w:color="auto" w:fill="auto"/>
            <w:noWrap/>
            <w:vAlign w:val="bottom"/>
            <w:hideMark/>
          </w:tcPr>
          <w:p w14:paraId="79E179AC" w14:textId="77777777" w:rsidR="00DB15E9" w:rsidRDefault="0078312E">
            <w:pPr>
              <w:pStyle w:val="ESSPTableText"/>
              <w:keepNext w:val="0"/>
            </w:pPr>
            <w:r>
              <w:t>86</w:t>
            </w:r>
          </w:p>
        </w:tc>
        <w:tc>
          <w:tcPr>
            <w:tcW w:w="1790" w:type="dxa"/>
            <w:tcBorders>
              <w:top w:val="nil"/>
              <w:left w:val="nil"/>
              <w:bottom w:val="single" w:sz="4" w:space="0" w:color="auto"/>
              <w:right w:val="single" w:sz="8" w:space="0" w:color="auto"/>
            </w:tcBorders>
            <w:shd w:val="clear" w:color="auto" w:fill="auto"/>
            <w:noWrap/>
            <w:vAlign w:val="bottom"/>
            <w:hideMark/>
          </w:tcPr>
          <w:p w14:paraId="5A05A3E5" w14:textId="77777777" w:rsidR="00DB15E9" w:rsidRDefault="0078312E">
            <w:pPr>
              <w:pStyle w:val="ESSPTableText"/>
              <w:keepNext w:val="0"/>
            </w:pPr>
            <w:r>
              <w:t>173</w:t>
            </w:r>
          </w:p>
        </w:tc>
      </w:tr>
      <w:tr w:rsidR="00DB15E9" w14:paraId="4D8E96BC"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73E2F5B5"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64F9229A" w14:textId="77777777" w:rsidR="00DB15E9" w:rsidRDefault="0078312E">
            <w:pPr>
              <w:pStyle w:val="ESSPTableText"/>
              <w:keepNext w:val="0"/>
            </w:pPr>
            <w:r>
              <w:t>-30</w:t>
            </w:r>
          </w:p>
        </w:tc>
        <w:tc>
          <w:tcPr>
            <w:tcW w:w="1540" w:type="dxa"/>
            <w:tcBorders>
              <w:top w:val="nil"/>
              <w:left w:val="nil"/>
              <w:bottom w:val="single" w:sz="4" w:space="0" w:color="auto"/>
              <w:right w:val="single" w:sz="4" w:space="0" w:color="auto"/>
            </w:tcBorders>
            <w:shd w:val="clear" w:color="auto" w:fill="auto"/>
            <w:noWrap/>
            <w:vAlign w:val="bottom"/>
            <w:hideMark/>
          </w:tcPr>
          <w:p w14:paraId="44B165E8" w14:textId="77777777" w:rsidR="00DB15E9" w:rsidRDefault="0078312E">
            <w:pPr>
              <w:pStyle w:val="ESSPTableText"/>
              <w:keepNext w:val="0"/>
            </w:pPr>
            <w:r>
              <w:t>90</w:t>
            </w:r>
          </w:p>
        </w:tc>
        <w:tc>
          <w:tcPr>
            <w:tcW w:w="1790" w:type="dxa"/>
            <w:tcBorders>
              <w:top w:val="nil"/>
              <w:left w:val="nil"/>
              <w:bottom w:val="single" w:sz="4" w:space="0" w:color="auto"/>
              <w:right w:val="single" w:sz="8" w:space="0" w:color="auto"/>
            </w:tcBorders>
            <w:shd w:val="clear" w:color="auto" w:fill="auto"/>
            <w:noWrap/>
            <w:vAlign w:val="bottom"/>
            <w:hideMark/>
          </w:tcPr>
          <w:p w14:paraId="649F47B3" w14:textId="77777777" w:rsidR="00DB15E9" w:rsidRDefault="0078312E">
            <w:pPr>
              <w:pStyle w:val="ESSPTableText"/>
              <w:keepNext w:val="0"/>
            </w:pPr>
            <w:r>
              <w:t>180</w:t>
            </w:r>
          </w:p>
        </w:tc>
      </w:tr>
      <w:tr w:rsidR="00DB15E9" w14:paraId="14060CE0"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72399C09"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2723FB22" w14:textId="77777777" w:rsidR="00DB15E9" w:rsidRDefault="0078312E">
            <w:pPr>
              <w:pStyle w:val="ESSPTableText"/>
              <w:keepNext w:val="0"/>
            </w:pPr>
            <w:r>
              <w:t>-40</w:t>
            </w:r>
          </w:p>
        </w:tc>
        <w:tc>
          <w:tcPr>
            <w:tcW w:w="1540" w:type="dxa"/>
            <w:tcBorders>
              <w:top w:val="nil"/>
              <w:left w:val="nil"/>
              <w:bottom w:val="single" w:sz="4" w:space="0" w:color="auto"/>
              <w:right w:val="single" w:sz="4" w:space="0" w:color="auto"/>
            </w:tcBorders>
            <w:shd w:val="clear" w:color="auto" w:fill="auto"/>
            <w:noWrap/>
            <w:vAlign w:val="bottom"/>
            <w:hideMark/>
          </w:tcPr>
          <w:p w14:paraId="2A66168D" w14:textId="77777777" w:rsidR="00DB15E9" w:rsidRDefault="0078312E">
            <w:pPr>
              <w:pStyle w:val="ESSPTableText"/>
              <w:keepNext w:val="0"/>
            </w:pPr>
            <w:r>
              <w:t>93</w:t>
            </w:r>
          </w:p>
        </w:tc>
        <w:tc>
          <w:tcPr>
            <w:tcW w:w="1790" w:type="dxa"/>
            <w:tcBorders>
              <w:top w:val="nil"/>
              <w:left w:val="nil"/>
              <w:bottom w:val="single" w:sz="4" w:space="0" w:color="auto"/>
              <w:right w:val="single" w:sz="8" w:space="0" w:color="auto"/>
            </w:tcBorders>
            <w:shd w:val="clear" w:color="auto" w:fill="auto"/>
            <w:noWrap/>
            <w:vAlign w:val="bottom"/>
            <w:hideMark/>
          </w:tcPr>
          <w:p w14:paraId="297BF8D7" w14:textId="77777777" w:rsidR="00DB15E9" w:rsidRDefault="0078312E">
            <w:pPr>
              <w:pStyle w:val="ESSPTableText"/>
              <w:keepNext w:val="0"/>
            </w:pPr>
            <w:r>
              <w:t>186</w:t>
            </w:r>
          </w:p>
        </w:tc>
      </w:tr>
      <w:tr w:rsidR="00DB15E9" w14:paraId="275D1A6C" w14:textId="77777777">
        <w:trPr>
          <w:trHeight w:val="288"/>
          <w:jc w:val="center"/>
        </w:trPr>
        <w:tc>
          <w:tcPr>
            <w:tcW w:w="1620" w:type="dxa"/>
            <w:tcBorders>
              <w:top w:val="nil"/>
              <w:left w:val="single" w:sz="8" w:space="0" w:color="auto"/>
              <w:bottom w:val="single" w:sz="4" w:space="0" w:color="auto"/>
              <w:right w:val="single" w:sz="4" w:space="0" w:color="auto"/>
            </w:tcBorders>
            <w:shd w:val="clear" w:color="auto" w:fill="auto"/>
            <w:noWrap/>
            <w:vAlign w:val="bottom"/>
            <w:hideMark/>
          </w:tcPr>
          <w:p w14:paraId="4728ACC4" w14:textId="77777777" w:rsidR="00DB15E9" w:rsidRDefault="0078312E">
            <w:pPr>
              <w:pStyle w:val="ESSPTableText"/>
              <w:keepNext w:val="0"/>
            </w:pPr>
            <w:r>
              <w:t>100</w:t>
            </w:r>
          </w:p>
        </w:tc>
        <w:tc>
          <w:tcPr>
            <w:tcW w:w="1575" w:type="dxa"/>
            <w:tcBorders>
              <w:top w:val="nil"/>
              <w:left w:val="nil"/>
              <w:bottom w:val="single" w:sz="4" w:space="0" w:color="auto"/>
              <w:right w:val="single" w:sz="4" w:space="0" w:color="auto"/>
            </w:tcBorders>
            <w:shd w:val="clear" w:color="auto" w:fill="auto"/>
            <w:noWrap/>
            <w:vAlign w:val="bottom"/>
            <w:hideMark/>
          </w:tcPr>
          <w:p w14:paraId="7E78A84D" w14:textId="77777777" w:rsidR="00DB15E9" w:rsidRDefault="0078312E">
            <w:pPr>
              <w:pStyle w:val="ESSPTableText"/>
              <w:keepNext w:val="0"/>
            </w:pPr>
            <w:r>
              <w:t>-50</w:t>
            </w:r>
          </w:p>
        </w:tc>
        <w:tc>
          <w:tcPr>
            <w:tcW w:w="1540" w:type="dxa"/>
            <w:tcBorders>
              <w:top w:val="nil"/>
              <w:left w:val="nil"/>
              <w:bottom w:val="single" w:sz="4" w:space="0" w:color="auto"/>
              <w:right w:val="single" w:sz="4" w:space="0" w:color="auto"/>
            </w:tcBorders>
            <w:shd w:val="clear" w:color="auto" w:fill="auto"/>
            <w:noWrap/>
            <w:vAlign w:val="bottom"/>
            <w:hideMark/>
          </w:tcPr>
          <w:p w14:paraId="75DD8EA6" w14:textId="77777777" w:rsidR="00DB15E9" w:rsidRDefault="0078312E">
            <w:pPr>
              <w:pStyle w:val="ESSPTableText"/>
              <w:keepNext w:val="0"/>
            </w:pPr>
            <w:r>
              <w:t>96</w:t>
            </w:r>
          </w:p>
        </w:tc>
        <w:tc>
          <w:tcPr>
            <w:tcW w:w="1790" w:type="dxa"/>
            <w:tcBorders>
              <w:top w:val="nil"/>
              <w:left w:val="nil"/>
              <w:bottom w:val="single" w:sz="4" w:space="0" w:color="auto"/>
              <w:right w:val="single" w:sz="8" w:space="0" w:color="auto"/>
            </w:tcBorders>
            <w:shd w:val="clear" w:color="auto" w:fill="auto"/>
            <w:noWrap/>
            <w:vAlign w:val="bottom"/>
            <w:hideMark/>
          </w:tcPr>
          <w:p w14:paraId="4FB68019" w14:textId="77777777" w:rsidR="00DB15E9" w:rsidRDefault="0078312E">
            <w:pPr>
              <w:pStyle w:val="ESSPTableText"/>
              <w:keepNext w:val="0"/>
            </w:pPr>
            <w:r>
              <w:t>191</w:t>
            </w:r>
          </w:p>
        </w:tc>
      </w:tr>
      <w:tr w:rsidR="00DB15E9" w14:paraId="313E919E" w14:textId="77777777">
        <w:trPr>
          <w:trHeight w:val="300"/>
          <w:jc w:val="center"/>
        </w:trPr>
        <w:tc>
          <w:tcPr>
            <w:tcW w:w="1620" w:type="dxa"/>
            <w:tcBorders>
              <w:top w:val="nil"/>
              <w:left w:val="single" w:sz="8" w:space="0" w:color="auto"/>
              <w:bottom w:val="single" w:sz="8" w:space="0" w:color="auto"/>
              <w:right w:val="single" w:sz="4" w:space="0" w:color="auto"/>
            </w:tcBorders>
            <w:shd w:val="clear" w:color="auto" w:fill="auto"/>
            <w:noWrap/>
            <w:vAlign w:val="bottom"/>
            <w:hideMark/>
          </w:tcPr>
          <w:p w14:paraId="39CB64D2" w14:textId="77777777" w:rsidR="00DB15E9" w:rsidRDefault="0078312E">
            <w:pPr>
              <w:pStyle w:val="ESSPTableText"/>
              <w:keepNext w:val="0"/>
            </w:pPr>
            <w:r>
              <w:t>100</w:t>
            </w:r>
          </w:p>
        </w:tc>
        <w:tc>
          <w:tcPr>
            <w:tcW w:w="1575" w:type="dxa"/>
            <w:tcBorders>
              <w:top w:val="nil"/>
              <w:left w:val="nil"/>
              <w:bottom w:val="single" w:sz="8" w:space="0" w:color="auto"/>
              <w:right w:val="single" w:sz="4" w:space="0" w:color="auto"/>
            </w:tcBorders>
            <w:shd w:val="clear" w:color="auto" w:fill="auto"/>
            <w:noWrap/>
            <w:vAlign w:val="bottom"/>
            <w:hideMark/>
          </w:tcPr>
          <w:p w14:paraId="4AE79FFC" w14:textId="77777777" w:rsidR="00DB15E9" w:rsidRDefault="0078312E">
            <w:pPr>
              <w:pStyle w:val="ESSPTableText"/>
              <w:keepNext w:val="0"/>
            </w:pPr>
            <w:r>
              <w:t>-60</w:t>
            </w:r>
          </w:p>
        </w:tc>
        <w:tc>
          <w:tcPr>
            <w:tcW w:w="1540" w:type="dxa"/>
            <w:tcBorders>
              <w:top w:val="nil"/>
              <w:left w:val="nil"/>
              <w:bottom w:val="single" w:sz="8" w:space="0" w:color="auto"/>
              <w:right w:val="single" w:sz="4" w:space="0" w:color="auto"/>
            </w:tcBorders>
            <w:shd w:val="clear" w:color="auto" w:fill="auto"/>
            <w:noWrap/>
            <w:vAlign w:val="bottom"/>
            <w:hideMark/>
          </w:tcPr>
          <w:p w14:paraId="32F15C44" w14:textId="77777777" w:rsidR="00DB15E9" w:rsidRDefault="0078312E">
            <w:pPr>
              <w:pStyle w:val="ESSPTableText"/>
              <w:keepNext w:val="0"/>
            </w:pPr>
            <w:r>
              <w:t>98</w:t>
            </w:r>
          </w:p>
        </w:tc>
        <w:tc>
          <w:tcPr>
            <w:tcW w:w="1790" w:type="dxa"/>
            <w:tcBorders>
              <w:top w:val="nil"/>
              <w:left w:val="nil"/>
              <w:bottom w:val="single" w:sz="8" w:space="0" w:color="auto"/>
              <w:right w:val="single" w:sz="8" w:space="0" w:color="auto"/>
            </w:tcBorders>
            <w:shd w:val="clear" w:color="auto" w:fill="auto"/>
            <w:noWrap/>
            <w:vAlign w:val="bottom"/>
            <w:hideMark/>
          </w:tcPr>
          <w:p w14:paraId="706D6EBF" w14:textId="77777777" w:rsidR="00DB15E9" w:rsidRDefault="0078312E">
            <w:pPr>
              <w:pStyle w:val="ESSPTableText"/>
              <w:keepNext w:val="0"/>
            </w:pPr>
            <w:r>
              <w:t>196</w:t>
            </w:r>
          </w:p>
        </w:tc>
      </w:tr>
    </w:tbl>
    <w:p w14:paraId="48653A88" w14:textId="77777777" w:rsidR="00DB15E9" w:rsidRDefault="0078312E">
      <w:pPr>
        <w:pStyle w:val="ESSPFigure"/>
      </w:pPr>
      <w:r>
        <w:drawing>
          <wp:inline distT="0" distB="0" distL="0" distR="0" wp14:anchorId="28B840F8" wp14:editId="3FA13FAA">
            <wp:extent cx="5886058" cy="3547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321"/>
                    <a:stretch/>
                  </pic:blipFill>
                  <pic:spPr bwMode="auto">
                    <a:xfrm>
                      <a:off x="0" y="0"/>
                      <a:ext cx="5905956" cy="3559866"/>
                    </a:xfrm>
                    <a:prstGeom prst="rect">
                      <a:avLst/>
                    </a:prstGeom>
                    <a:noFill/>
                    <a:ln>
                      <a:noFill/>
                    </a:ln>
                    <a:extLst>
                      <a:ext uri="{53640926-AAD7-44D8-BBD7-CCE9431645EC}">
                        <a14:shadowObscured xmlns:a14="http://schemas.microsoft.com/office/drawing/2010/main"/>
                      </a:ext>
                    </a:extLst>
                  </pic:spPr>
                </pic:pic>
              </a:graphicData>
            </a:graphic>
          </wp:inline>
        </w:drawing>
      </w:r>
    </w:p>
    <w:p w14:paraId="6E834EF7" w14:textId="77777777" w:rsidR="00DB15E9" w:rsidRDefault="0078312E">
      <w:pPr>
        <w:pStyle w:val="ESSPFigureCaption"/>
      </w:pPr>
      <w:bookmarkStart w:id="126" w:name="_Toc471971583"/>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t>:</w:t>
      </w:r>
      <w:r>
        <w:t xml:space="preserve"> Worst-case Backloading on Payload Radiator</w:t>
      </w:r>
      <w:bookmarkEnd w:id="126"/>
    </w:p>
    <w:p w14:paraId="3E795896" w14:textId="77777777" w:rsidR="00DB15E9" w:rsidRDefault="0078312E">
      <w:pPr>
        <w:pStyle w:val="Requirement"/>
      </w:pPr>
      <w:r>
        <w:t>The Instrument should maintain its own instrument temperature requirements.</w:t>
      </w:r>
    </w:p>
    <w:p w14:paraId="504839E6" w14:textId="77777777" w:rsidR="00DB15E9" w:rsidRDefault="0078312E">
      <w:pPr>
        <w:pStyle w:val="ESSPBodyText"/>
      </w:pPr>
      <w:r>
        <w:lastRenderedPageBreak/>
        <w:t>Rationale: As a thermally isolated payload, the Instrument has to manage its own thermal properties without support from the Host Spacecraft.</w:t>
      </w:r>
    </w:p>
    <w:p w14:paraId="7DE20A5D" w14:textId="77777777" w:rsidR="00DB15E9" w:rsidRDefault="0078312E">
      <w:pPr>
        <w:pStyle w:val="Heading3"/>
      </w:pPr>
      <w:bookmarkStart w:id="127" w:name="_Toc471910789"/>
      <w:r>
        <w:t>Temperature Maintenance Responsibility</w:t>
      </w:r>
      <w:bookmarkEnd w:id="127"/>
    </w:p>
    <w:p w14:paraId="63B47B82" w14:textId="77777777" w:rsidR="00DB15E9" w:rsidRDefault="0078312E">
      <w:pPr>
        <w:pStyle w:val="Requirement"/>
      </w:pPr>
      <w:r>
        <w:t>The Instrument should maintain its own instrument temperature requirements.</w:t>
      </w:r>
    </w:p>
    <w:p w14:paraId="1DF30F75" w14:textId="77777777" w:rsidR="00DB15E9" w:rsidRDefault="0078312E">
      <w:pPr>
        <w:pStyle w:val="ESSPBodyText"/>
        <w:rPr>
          <w:rFonts w:ascii="Calibri" w:hAnsi="Calibri"/>
          <w:sz w:val="20"/>
          <w:szCs w:val="20"/>
        </w:rPr>
      </w:pPr>
      <w:r>
        <w:t>Rationale: As a thermally isolated payload, the Instrument has to manage its own thermal properties without support from the Host Spacecraft.</w:t>
      </w:r>
    </w:p>
    <w:p w14:paraId="10A4BE31" w14:textId="77777777" w:rsidR="00DB15E9" w:rsidRDefault="0078312E">
      <w:pPr>
        <w:pStyle w:val="Heading3"/>
      </w:pPr>
      <w:bookmarkStart w:id="128" w:name="_Toc471910790"/>
      <w:r>
        <w:t>Instrument Allowable Temperatures</w:t>
      </w:r>
      <w:bookmarkEnd w:id="128"/>
    </w:p>
    <w:p w14:paraId="1B212A9B" w14:textId="77777777" w:rsidR="00DB15E9" w:rsidRDefault="0078312E">
      <w:pPr>
        <w:pStyle w:val="Requirement"/>
        <w:rPr>
          <w:rFonts w:ascii="Calibri" w:eastAsiaTheme="minorHAnsi" w:hAnsi="Calibri"/>
          <w:sz w:val="20"/>
          <w:szCs w:val="20"/>
        </w:rPr>
      </w:pPr>
      <w:r>
        <w:t>The TICD will document the allowable temperature ranges that the Instrument will maintain in each operational mode/state.</w:t>
      </w:r>
    </w:p>
    <w:p w14:paraId="626C36C0" w14:textId="77777777" w:rsidR="00DB15E9" w:rsidRDefault="0078312E">
      <w:pPr>
        <w:pStyle w:val="ESSPBodyText"/>
      </w:pPr>
      <w:r>
        <w:t>Rationale: Defining the instrument allowable temperatures drives the performance requirements for the thermal management systems for both the Instrument as well as the Host Spacecraft.</w:t>
      </w:r>
    </w:p>
    <w:p w14:paraId="6C7D57A9" w14:textId="77777777" w:rsidR="00DB15E9" w:rsidRDefault="0078312E">
      <w:pPr>
        <w:pStyle w:val="Heading3"/>
        <w:numPr>
          <w:ilvl w:val="2"/>
          <w:numId w:val="24"/>
        </w:numPr>
      </w:pPr>
      <w:bookmarkStart w:id="129" w:name="_Toc471910791"/>
      <w:r>
        <w:t>Thermal Control Hardware Responsibility</w:t>
      </w:r>
      <w:bookmarkEnd w:id="129"/>
    </w:p>
    <w:p w14:paraId="1F98EE86" w14:textId="77777777" w:rsidR="00DB15E9" w:rsidRPr="00BC313E" w:rsidRDefault="0078312E">
      <w:pPr>
        <w:pStyle w:val="ESSPBodyText"/>
        <w:rPr>
          <w:b/>
        </w:rPr>
      </w:pPr>
      <w:r w:rsidRPr="00BC313E">
        <w:rPr>
          <w:b/>
        </w:rPr>
        <w:t>The Instrument Provider should provide and install all instrument thermal control hardware including blankets, temperature sensors, louvers, heat pipes, radiators, and coatings.</w:t>
      </w:r>
    </w:p>
    <w:p w14:paraId="49035588" w14:textId="77777777" w:rsidR="00DB15E9" w:rsidRDefault="0078312E">
      <w:pPr>
        <w:pStyle w:val="ESSPBodyText"/>
      </w:pPr>
      <w:r>
        <w:t>Rationale: This responsibility naturally follows the responsibility for the instrument thermal design and maintaining the temperature requirements of the instrument.</w:t>
      </w:r>
    </w:p>
    <w:p w14:paraId="1FF52DDB" w14:textId="77777777" w:rsidR="00DB15E9" w:rsidRDefault="0078312E">
      <w:pPr>
        <w:pStyle w:val="Heading2"/>
      </w:pPr>
      <w:bookmarkStart w:id="130" w:name="_Toc471910792"/>
      <w:r>
        <w:t>Instrument Models</w:t>
      </w:r>
      <w:bookmarkEnd w:id="130"/>
    </w:p>
    <w:p w14:paraId="1BECF02B" w14:textId="77777777" w:rsidR="00DB15E9" w:rsidRDefault="0078312E">
      <w:pPr>
        <w:pStyle w:val="Requirement"/>
      </w:pPr>
      <w:r>
        <w:t>The Instrument Developer should submit finite element, thermal math, mechanical computer aided design, and mass models of the instrument to the Host Spacecraft manufacturer/integrator.</w:t>
      </w:r>
    </w:p>
    <w:p w14:paraId="6BC671A4" w14:textId="77777777" w:rsidR="00DB15E9" w:rsidRDefault="0078312E">
      <w:pPr>
        <w:pStyle w:val="ESSPBodyText"/>
      </w:pPr>
      <w:r>
        <w:t>Rationale: The Host Spacecraft manufacturer/integrator requires models of all spacecraft components in order to complete the design portion of the spacecraft lifecycle.</w:t>
      </w:r>
    </w:p>
    <w:p w14:paraId="3702A07B" w14:textId="77777777" w:rsidR="00DB15E9" w:rsidRDefault="0078312E">
      <w:pPr>
        <w:pStyle w:val="Heading2"/>
      </w:pPr>
      <w:bookmarkStart w:id="131" w:name="_Ref207360645"/>
      <w:bookmarkStart w:id="132" w:name="_Toc471910793"/>
      <w:r>
        <w:t>Environmental Guidelines</w:t>
      </w:r>
      <w:bookmarkEnd w:id="131"/>
      <w:bookmarkEnd w:id="132"/>
      <w:r>
        <w:t xml:space="preserve"> </w:t>
      </w:r>
    </w:p>
    <w:p w14:paraId="7AD36AEB" w14:textId="77777777" w:rsidR="00DB15E9" w:rsidRDefault="0078312E">
      <w:pPr>
        <w:pStyle w:val="Heading3"/>
      </w:pPr>
      <w:bookmarkStart w:id="133" w:name="_Toc326129276"/>
      <w:bookmarkStart w:id="134" w:name="_Toc471910794"/>
      <w:bookmarkEnd w:id="30"/>
      <w:r>
        <w:t>Assumptions</w:t>
      </w:r>
      <w:bookmarkEnd w:id="133"/>
      <w:bookmarkEnd w:id="134"/>
    </w:p>
    <w:p w14:paraId="1BB9AA37" w14:textId="77777777" w:rsidR="00DB15E9" w:rsidRDefault="0078312E">
      <w:pPr>
        <w:pStyle w:val="ESSPBodyText"/>
      </w:pPr>
      <w:r>
        <w:t>The HPIG environmental guidelines assume the following regarding the Host Spacecraft, launch vehicle, and/or integration and test facilities:</w:t>
      </w:r>
    </w:p>
    <w:p w14:paraId="3CC3C8BD" w14:textId="77777777" w:rsidR="00DB15E9" w:rsidRDefault="0078312E">
      <w:pPr>
        <w:pStyle w:val="ESSPNumberedList"/>
        <w:numPr>
          <w:ilvl w:val="0"/>
          <w:numId w:val="7"/>
        </w:numPr>
      </w:pPr>
      <w:r>
        <w:t>During the pairing process, the Host Spacecraft Manufacturer/Systems Integrator and the Instrument Developer will negotiate detailed parameters of the environmental interface.</w:t>
      </w:r>
      <w:r>
        <w:rPr>
          <w:rFonts w:ascii="Times New Roman" w:hAnsi="Times New Roman"/>
          <w:szCs w:val="24"/>
        </w:rPr>
        <w:t xml:space="preserve"> </w:t>
      </w:r>
      <w:r>
        <w:t>The Environmental Requirements Document (ERD) will record those parameters and decisions.</w:t>
      </w:r>
    </w:p>
    <w:p w14:paraId="3DF8BC73" w14:textId="77777777" w:rsidR="00DB15E9" w:rsidRDefault="0078312E">
      <w:pPr>
        <w:pStyle w:val="ESSPBodyText"/>
      </w:pPr>
      <w:r>
        <w:t>Note: the design of the Instrument modes of operation are the responsibility of the Instrument Developer.</w:t>
      </w:r>
      <w:r>
        <w:rPr>
          <w:rFonts w:ascii="Times New Roman" w:hAnsi="Times New Roman"/>
          <w:szCs w:val="24"/>
        </w:rPr>
        <w:t xml:space="preserve"> </w:t>
      </w:r>
      <w:r>
        <w:t>For purposes of illustration, the operational modes in this section are equivalent to the Instrument modes and states as defined in Appendix D.</w:t>
      </w:r>
    </w:p>
    <w:p w14:paraId="0A624DB0" w14:textId="77777777" w:rsidR="00DB15E9" w:rsidRDefault="0078312E">
      <w:pPr>
        <w:pStyle w:val="Heading3"/>
      </w:pPr>
      <w:bookmarkStart w:id="135" w:name="_Toc326129277"/>
      <w:bookmarkStart w:id="136" w:name="_Toc471910795"/>
      <w:r>
        <w:lastRenderedPageBreak/>
        <w:t>Shipping/Storage Environment</w:t>
      </w:r>
      <w:bookmarkEnd w:id="135"/>
      <w:bookmarkEnd w:id="136"/>
    </w:p>
    <w:p w14:paraId="784B1E78" w14:textId="77777777" w:rsidR="00DB15E9" w:rsidRDefault="0078312E">
      <w:pPr>
        <w:pStyle w:val="ESSPBodyText"/>
      </w:pPr>
      <w:bookmarkStart w:id="137" w:name="OLE_LINK12"/>
      <w:bookmarkStart w:id="138" w:name="OLE_LINK13"/>
      <w:r>
        <w:t>The Shipping/Storage Environment represents the time in the Instrument’s lifecycle between when it departs the Instrument Developer’s facility and arrives at the facility of the Host Spacecraft Manufacturer/Systems Integrator.</w:t>
      </w:r>
      <w:r>
        <w:rPr>
          <w:rFonts w:ascii="Times New Roman" w:hAnsi="Times New Roman"/>
          <w:szCs w:val="24"/>
        </w:rPr>
        <w:t xml:space="preserve"> </w:t>
      </w:r>
      <w:r>
        <w:t xml:space="preserve">The Instrument is dormant and attached mechanically to its container (see </w:t>
      </w:r>
      <w:r>
        <w:fldChar w:fldCharType="begin"/>
      </w:r>
      <w:r>
        <w:instrText xml:space="preserve"> REF _Ref453064663 \h  \* MERGEFORMAT </w:instrText>
      </w:r>
      <w:r>
        <w:fldChar w:fldCharType="separate"/>
      </w:r>
      <w:r>
        <w:t>Figure 2</w:t>
      </w:r>
      <w:r>
        <w:noBreakHyphen/>
        <w:t>3</w:t>
      </w:r>
      <w:r>
        <w:fldChar w:fldCharType="end"/>
      </w:r>
      <w:r>
        <w:t>).</w:t>
      </w:r>
    </w:p>
    <w:bookmarkEnd w:id="137"/>
    <w:bookmarkEnd w:id="138"/>
    <w:p w14:paraId="74DCD102" w14:textId="77777777" w:rsidR="00DB15E9" w:rsidRDefault="0078312E">
      <w:pPr>
        <w:pStyle w:val="ESSPFigure"/>
        <w:rPr>
          <w:rFonts w:ascii="Helvetica" w:hAnsi="Helvetica"/>
          <w:noProof w:val="0"/>
        </w:rPr>
      </w:pPr>
      <w:r>
        <w:drawing>
          <wp:inline distT="0" distB="0" distL="0" distR="0" wp14:anchorId="281420DF" wp14:editId="273DC2C3">
            <wp:extent cx="5130165" cy="6341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165" cy="6341110"/>
                    </a:xfrm>
                    <a:prstGeom prst="rect">
                      <a:avLst/>
                    </a:prstGeom>
                    <a:noFill/>
                    <a:ln>
                      <a:noFill/>
                    </a:ln>
                  </pic:spPr>
                </pic:pic>
              </a:graphicData>
            </a:graphic>
          </wp:inline>
        </w:drawing>
      </w:r>
    </w:p>
    <w:p w14:paraId="564B3DD3" w14:textId="77777777" w:rsidR="00DB15E9" w:rsidRDefault="0078312E">
      <w:pPr>
        <w:pStyle w:val="ESSPFigureCaption"/>
        <w:rPr>
          <w:rFonts w:ascii="Helvetica" w:hAnsi="Helvetica"/>
        </w:rPr>
      </w:pPr>
      <w:bookmarkStart w:id="139" w:name="_Ref453064663"/>
      <w:bookmarkStart w:id="140" w:name="_Ref453064657"/>
      <w:bookmarkStart w:id="141" w:name="_Toc471971584"/>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3</w:t>
      </w:r>
      <w:r>
        <w:rPr>
          <w:rFonts w:ascii="Helvetica" w:hAnsi="Helvetica"/>
        </w:rPr>
        <w:fldChar w:fldCharType="end"/>
      </w:r>
      <w:bookmarkEnd w:id="139"/>
      <w:r>
        <w:rPr>
          <w:rFonts w:ascii="Helvetica" w:hAnsi="Helvetica"/>
        </w:rPr>
        <w:t>: Shipping / Storage Environment</w:t>
      </w:r>
      <w:bookmarkEnd w:id="140"/>
      <w:bookmarkEnd w:id="141"/>
    </w:p>
    <w:p w14:paraId="1F8FAA7C" w14:textId="77777777" w:rsidR="00DB15E9" w:rsidRDefault="0078312E">
      <w:pPr>
        <w:pStyle w:val="Heading4"/>
      </w:pPr>
      <w:bookmarkStart w:id="142" w:name="_Toc471910796"/>
      <w:r>
        <w:lastRenderedPageBreak/>
        <w:t>Documentation</w:t>
      </w:r>
      <w:bookmarkEnd w:id="142"/>
    </w:p>
    <w:p w14:paraId="658C20ED" w14:textId="77777777" w:rsidR="00DB15E9" w:rsidRDefault="0078312E">
      <w:pPr>
        <w:pStyle w:val="Requirement"/>
      </w:pPr>
      <w:r>
        <w:t>The ERD will document the maximum allowable environment the Instrument will experience between the departure from the Instrument assembly facility and arrival at the Host Spacecraft integration facility.</w:t>
      </w:r>
    </w:p>
    <w:p w14:paraId="4BD801AF" w14:textId="77777777" w:rsidR="00DB15E9" w:rsidRDefault="0078312E">
      <w:pPr>
        <w:pStyle w:val="ESSPBodyText"/>
      </w:pPr>
      <w:r>
        <w:t>Rationale: The nature of the Shipping/Storage Environment depends upon the point at which physical custody of the Instrument transfers from Instrument Developer to the Satellite Contractor/Systems Integrator as well as negotiated agreements on shipping/storage procedures.</w:t>
      </w:r>
    </w:p>
    <w:p w14:paraId="38C56B65" w14:textId="77777777" w:rsidR="00DB15E9" w:rsidRDefault="0078312E">
      <w:pPr>
        <w:pStyle w:val="ESSPBodyText"/>
      </w:pPr>
      <w:r>
        <w:t>The interfaces associated with the shipping/storage environment include the allowable temperatures and the characteristics of the associated atmosphere.</w:t>
      </w:r>
    </w:p>
    <w:p w14:paraId="08B5CCD9" w14:textId="77777777" w:rsidR="00DB15E9" w:rsidRDefault="0078312E">
      <w:pPr>
        <w:pStyle w:val="Heading4"/>
      </w:pPr>
      <w:bookmarkStart w:id="143" w:name="_Toc471910797"/>
      <w:r>
        <w:t>Instrument Configuration</w:t>
      </w:r>
      <w:bookmarkEnd w:id="143"/>
    </w:p>
    <w:p w14:paraId="41805B6D" w14:textId="77777777" w:rsidR="00DB15E9" w:rsidRDefault="0078312E">
      <w:pPr>
        <w:pStyle w:val="Requirement"/>
      </w:pPr>
      <w:r>
        <w:t>The ERD will document the configuration and operational state of the Instrument during the Shipping/Storage phase.</w:t>
      </w:r>
    </w:p>
    <w:p w14:paraId="74404015" w14:textId="77777777" w:rsidR="00DB15E9" w:rsidRDefault="0078312E">
      <w:pPr>
        <w:pStyle w:val="ESSPBodyText"/>
      </w:pPr>
      <w:r>
        <w:t>Rationale: Specifying the configuration of the Instrument during shipping/storage drives the volume requirements for the container as well as any associated support equipment and required services.</w:t>
      </w:r>
    </w:p>
    <w:p w14:paraId="5FE75D83" w14:textId="77777777" w:rsidR="00DB15E9" w:rsidRDefault="0078312E">
      <w:pPr>
        <w:pStyle w:val="ESSPBodyText"/>
      </w:pPr>
      <w:r>
        <w:t xml:space="preserve">The Instrument will likely be in the </w:t>
      </w:r>
      <w:r>
        <w:rPr>
          <w:smallCaps/>
        </w:rPr>
        <w:t>Off/Survival</w:t>
      </w:r>
      <w:r>
        <w:t xml:space="preserve"> mode while in this environment.</w:t>
      </w:r>
    </w:p>
    <w:p w14:paraId="49FB5C68" w14:textId="77777777" w:rsidR="00DB15E9" w:rsidRDefault="0078312E">
      <w:pPr>
        <w:pStyle w:val="Heading3"/>
      </w:pPr>
      <w:bookmarkStart w:id="144" w:name="_Toc326129278"/>
      <w:bookmarkStart w:id="145" w:name="_Toc471910798"/>
      <w:r>
        <w:t>Integration and Test Environment</w:t>
      </w:r>
      <w:bookmarkEnd w:id="144"/>
      <w:bookmarkEnd w:id="145"/>
    </w:p>
    <w:p w14:paraId="4B14D840" w14:textId="77777777" w:rsidR="00DB15E9" w:rsidRDefault="0078312E">
      <w:pPr>
        <w:pStyle w:val="ESSPBodyText"/>
      </w:pPr>
      <w:r>
        <w:t xml:space="preserve">The Integration and Test Environment represents the time in the Instrument’s lifecycle between when it arrives at the facility of the Host Spacecraft Manufacturer/Systems Integrator through payload encapsulation at the launch facility. During this phase, the Host Spacecraft Manufacturer/Systems Integration will attach the Instrument to the spacecraft bus and verify that system performs as designed throughout various environmental and dynamics regimes. The Instrument may be attached to the spacecraft bus or to various ground support equipment that transmits power, thermal conditioning, and diagnostic data (see </w:t>
      </w:r>
      <w:r>
        <w:fldChar w:fldCharType="begin"/>
      </w:r>
      <w:r>
        <w:instrText xml:space="preserve"> REF _Ref453064695 \h  \* MERGEFORMAT </w:instrText>
      </w:r>
      <w:r>
        <w:fldChar w:fldCharType="separate"/>
      </w:r>
      <w:r>
        <w:t>Figure 2</w:t>
      </w:r>
      <w:r>
        <w:noBreakHyphen/>
        <w:t>4</w:t>
      </w:r>
      <w:r>
        <w:fldChar w:fldCharType="end"/>
      </w:r>
      <w:r>
        <w:t>).</w:t>
      </w:r>
    </w:p>
    <w:p w14:paraId="79B8DA40" w14:textId="77777777" w:rsidR="00DB15E9" w:rsidRDefault="0078312E">
      <w:pPr>
        <w:pStyle w:val="ESSPBodyText"/>
      </w:pPr>
      <w:r>
        <w:t>The instrument should be designed to minimize integrated tests with the spacecraft during the system level I&amp;T phase. This is especially important during test activities in the environmental chambers. To the extent practical for the instrument, all performance testing should be performed prior to arrival at the spacecraft facility.</w:t>
      </w:r>
      <w:r>
        <w:rPr>
          <w:rFonts w:ascii="Times New Roman" w:hAnsi="Times New Roman"/>
          <w:szCs w:val="24"/>
        </w:rPr>
        <w:t xml:space="preserve"> </w:t>
      </w:r>
      <w:r>
        <w:t>Interface compatibility should be tested and the instrument should be powered down for the majority of spacecraft system level activities.</w:t>
      </w:r>
      <w:r>
        <w:rPr>
          <w:rFonts w:ascii="Times New Roman" w:hAnsi="Times New Roman"/>
          <w:szCs w:val="24"/>
        </w:rPr>
        <w:t xml:space="preserve"> </w:t>
      </w:r>
      <w:r>
        <w:t>This approach is to minimize schedule, cost, and complexity with the host.</w:t>
      </w:r>
    </w:p>
    <w:p w14:paraId="4399C2A2" w14:textId="77777777" w:rsidR="00DB15E9" w:rsidRDefault="0078312E">
      <w:pPr>
        <w:pStyle w:val="ESSPFigure"/>
        <w:rPr>
          <w:rFonts w:ascii="Helvetica" w:hAnsi="Helvetica"/>
          <w:noProof w:val="0"/>
        </w:rPr>
      </w:pPr>
      <w:r>
        <w:lastRenderedPageBreak/>
        <w:drawing>
          <wp:inline distT="0" distB="0" distL="0" distR="0" wp14:anchorId="07656BB7" wp14:editId="58E1F9C9">
            <wp:extent cx="5106148" cy="49743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3261" cy="4981266"/>
                    </a:xfrm>
                    <a:prstGeom prst="rect">
                      <a:avLst/>
                    </a:prstGeom>
                    <a:noFill/>
                    <a:ln>
                      <a:noFill/>
                    </a:ln>
                  </pic:spPr>
                </pic:pic>
              </a:graphicData>
            </a:graphic>
          </wp:inline>
        </w:drawing>
      </w:r>
    </w:p>
    <w:p w14:paraId="7CCCA494" w14:textId="77777777" w:rsidR="00DB15E9" w:rsidRDefault="0078312E">
      <w:pPr>
        <w:pStyle w:val="ESSPFigureCaption"/>
        <w:rPr>
          <w:rFonts w:ascii="Helvetica" w:hAnsi="Helvetica"/>
        </w:rPr>
      </w:pPr>
      <w:bookmarkStart w:id="146" w:name="_Ref453064695"/>
      <w:bookmarkStart w:id="147" w:name="_Toc471971585"/>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4</w:t>
      </w:r>
      <w:r>
        <w:rPr>
          <w:rFonts w:ascii="Helvetica" w:hAnsi="Helvetica"/>
        </w:rPr>
        <w:fldChar w:fldCharType="end"/>
      </w:r>
      <w:bookmarkEnd w:id="146"/>
      <w:r>
        <w:rPr>
          <w:rFonts w:ascii="Helvetica" w:hAnsi="Helvetica"/>
        </w:rPr>
        <w:t>: Integration and Test Environment</w:t>
      </w:r>
      <w:bookmarkEnd w:id="147"/>
    </w:p>
    <w:p w14:paraId="51D2B8E7" w14:textId="77777777" w:rsidR="00DB15E9" w:rsidRDefault="0078312E">
      <w:pPr>
        <w:pStyle w:val="Heading4"/>
      </w:pPr>
      <w:bookmarkStart w:id="148" w:name="_Toc471910799"/>
      <w:r>
        <w:t>Documentation</w:t>
      </w:r>
      <w:bookmarkEnd w:id="148"/>
    </w:p>
    <w:p w14:paraId="1C0C4891" w14:textId="77777777" w:rsidR="00DB15E9" w:rsidRDefault="0078312E">
      <w:pPr>
        <w:pStyle w:val="Requirement"/>
      </w:pPr>
      <w:r>
        <w:t>The ERD will document the maximum allowable environments the Instrument will experience between arrival at the Host Spacecraft integration facility and Launch.</w:t>
      </w:r>
    </w:p>
    <w:p w14:paraId="1E48A391" w14:textId="77777777" w:rsidR="00DB15E9" w:rsidRDefault="0078312E">
      <w:pPr>
        <w:pStyle w:val="ESSPBodyText"/>
      </w:pPr>
      <w:r>
        <w:t>Rationale: The nature of the Integration and Test Environment depends upon the choice of Host Spacecraft and Launch Vehicle as well as the negotiated workflows at the Systems Integration and Launch facilities.</w:t>
      </w:r>
    </w:p>
    <w:p w14:paraId="63B7B0B0" w14:textId="77777777" w:rsidR="00DB15E9" w:rsidRDefault="0078312E">
      <w:pPr>
        <w:pStyle w:val="ESSPBodyText"/>
      </w:pPr>
      <w:r>
        <w:t>Example environmental properties include the thermal, dynamic, atmospheric, electromagnetic, radiation characteristics of each procedure in the Integration and Test process.</w:t>
      </w:r>
      <w:r>
        <w:rPr>
          <w:rFonts w:ascii="Times New Roman" w:hAnsi="Times New Roman"/>
          <w:szCs w:val="24"/>
        </w:rPr>
        <w:t xml:space="preserve"> </w:t>
      </w:r>
      <w:r>
        <w:t>The ERD may either record these data explicitly or refer to a negotiated Test and Evaluation Master Plan (TEMP).</w:t>
      </w:r>
      <w:r>
        <w:rPr>
          <w:rFonts w:ascii="Times New Roman" w:hAnsi="Times New Roman"/>
          <w:szCs w:val="24"/>
        </w:rPr>
        <w:t xml:space="preserve"> </w:t>
      </w:r>
      <w:bookmarkStart w:id="149" w:name="_Toc308615033"/>
    </w:p>
    <w:p w14:paraId="190246ED" w14:textId="77777777" w:rsidR="00DB15E9" w:rsidRDefault="0078312E">
      <w:pPr>
        <w:pStyle w:val="Heading4"/>
      </w:pPr>
      <w:bookmarkStart w:id="150" w:name="_Toc471910800"/>
      <w:r>
        <w:rPr>
          <w:rStyle w:val="Heading4Char"/>
          <w:i/>
        </w:rPr>
        <w:t>Instrument Configuration</w:t>
      </w:r>
      <w:bookmarkEnd w:id="149"/>
      <w:bookmarkEnd w:id="150"/>
    </w:p>
    <w:p w14:paraId="0767B6A9" w14:textId="77777777" w:rsidR="00DB15E9" w:rsidRDefault="0078312E">
      <w:pPr>
        <w:tabs>
          <w:tab w:val="clear" w:pos="1440"/>
          <w:tab w:val="clear" w:pos="4140"/>
          <w:tab w:val="clear" w:pos="7920"/>
        </w:tabs>
        <w:autoSpaceDE w:val="0"/>
        <w:autoSpaceDN w:val="0"/>
        <w:adjustRightInd w:val="0"/>
        <w:spacing w:after="240"/>
        <w:rPr>
          <w:rFonts w:ascii="Times New Roman" w:hAnsi="Times New Roman"/>
          <w:b/>
          <w:szCs w:val="24"/>
        </w:rPr>
      </w:pPr>
      <w:r>
        <w:rPr>
          <w:rFonts w:ascii="Times New Roman" w:hAnsi="Times New Roman"/>
          <w:b/>
          <w:szCs w:val="24"/>
        </w:rPr>
        <w:t>The ERD will document the configuration and operational mode of the Instrument during the Integration and Test phase.</w:t>
      </w:r>
    </w:p>
    <w:p w14:paraId="30D72C97" w14:textId="77777777" w:rsidR="00DB15E9" w:rsidRDefault="0078312E">
      <w:pPr>
        <w:tabs>
          <w:tab w:val="clear" w:pos="1440"/>
          <w:tab w:val="clear" w:pos="4140"/>
          <w:tab w:val="clear" w:pos="7920"/>
        </w:tabs>
        <w:autoSpaceDE w:val="0"/>
        <w:autoSpaceDN w:val="0"/>
        <w:adjustRightInd w:val="0"/>
        <w:spacing w:after="240"/>
        <w:rPr>
          <w:rFonts w:ascii="Times New Roman" w:hAnsi="Times New Roman"/>
          <w:szCs w:val="24"/>
        </w:rPr>
      </w:pPr>
      <w:r>
        <w:rPr>
          <w:rFonts w:ascii="Times New Roman" w:hAnsi="Times New Roman"/>
          <w:szCs w:val="24"/>
        </w:rPr>
        <w:lastRenderedPageBreak/>
        <w:t>Rationale: Proper configuration of the Instrument during the various Integration and Test procedures ensures the validity of the process.</w:t>
      </w:r>
    </w:p>
    <w:p w14:paraId="49D6635D" w14:textId="77777777" w:rsidR="00DB15E9" w:rsidRDefault="0078312E">
      <w:pPr>
        <w:pStyle w:val="Heading3"/>
      </w:pPr>
      <w:bookmarkStart w:id="151" w:name="_Toc326129279"/>
      <w:bookmarkStart w:id="152" w:name="_Toc471910801"/>
      <w:r>
        <w:t>Launch Environment</w:t>
      </w:r>
      <w:bookmarkEnd w:id="151"/>
      <w:bookmarkEnd w:id="152"/>
    </w:p>
    <w:p w14:paraId="40AEBDB4" w14:textId="77777777" w:rsidR="00DB15E9" w:rsidRDefault="0078312E">
      <w:pPr>
        <w:pStyle w:val="ESSPBodyText"/>
      </w:pPr>
      <w:r>
        <w:t xml:space="preserve">The Launch Environment represents that time in the Instrument’s lifecycle when it is attached to the launch vehicle via the Host Spacecraft, from payload encapsulation at the Launch facility through the completion of the launch vehicle’s final injection burn (see </w:t>
      </w:r>
      <w:r w:rsidR="00BA5284">
        <w:fldChar w:fldCharType="begin"/>
      </w:r>
      <w:r w:rsidR="00BA5284">
        <w:instrText xml:space="preserve"> REF _Ref453064730  \* MERGEFORMAT </w:instrText>
      </w:r>
      <w:r w:rsidR="00BA5284">
        <w:fldChar w:fldCharType="separate"/>
      </w:r>
      <w:r>
        <w:t>Figure 2</w:t>
      </w:r>
      <w:r>
        <w:noBreakHyphen/>
        <w:t>5</w:t>
      </w:r>
      <w:r w:rsidR="00BA5284">
        <w:fldChar w:fldCharType="end"/>
      </w:r>
      <w:r>
        <w:t>).</w:t>
      </w:r>
    </w:p>
    <w:p w14:paraId="0AB070D8" w14:textId="77777777" w:rsidR="00DB15E9" w:rsidRDefault="0078312E">
      <w:pPr>
        <w:pStyle w:val="ESSPFigure"/>
        <w:rPr>
          <w:rFonts w:ascii="Helvetica" w:hAnsi="Helvetica"/>
          <w:noProof w:val="0"/>
        </w:rPr>
      </w:pPr>
      <w:r>
        <w:rPr>
          <w:rFonts w:ascii="Helvetica" w:hAnsi="Helvetica"/>
        </w:rPr>
        <w:drawing>
          <wp:inline distT="0" distB="0" distL="0" distR="0" wp14:anchorId="70387799" wp14:editId="415111C8">
            <wp:extent cx="5437558" cy="540593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I Launch Environment.pdf"/>
                    <pic:cNvPicPr/>
                  </pic:nvPicPr>
                  <pic:blipFill rotWithShape="1">
                    <a:blip r:embed="rId17">
                      <a:extLst>
                        <a:ext uri="{28A0092B-C50C-407E-A947-70E740481C1C}">
                          <a14:useLocalDpi xmlns:a14="http://schemas.microsoft.com/office/drawing/2010/main" val="0"/>
                        </a:ext>
                      </a:extLst>
                    </a:blip>
                    <a:srcRect b="6061"/>
                    <a:stretch/>
                  </pic:blipFill>
                  <pic:spPr bwMode="auto">
                    <a:xfrm>
                      <a:off x="0" y="0"/>
                      <a:ext cx="5450951" cy="5419248"/>
                    </a:xfrm>
                    <a:prstGeom prst="rect">
                      <a:avLst/>
                    </a:prstGeom>
                    <a:ln>
                      <a:noFill/>
                    </a:ln>
                    <a:extLst>
                      <a:ext uri="{53640926-AAD7-44D8-BBD7-CCE9431645EC}">
                        <a14:shadowObscured xmlns:a14="http://schemas.microsoft.com/office/drawing/2010/main"/>
                      </a:ext>
                    </a:extLst>
                  </pic:spPr>
                </pic:pic>
              </a:graphicData>
            </a:graphic>
          </wp:inline>
        </w:drawing>
      </w:r>
    </w:p>
    <w:p w14:paraId="2DE5C8C4" w14:textId="77777777" w:rsidR="00DB15E9" w:rsidRDefault="0078312E">
      <w:pPr>
        <w:pStyle w:val="ESSPFigureCaption"/>
        <w:rPr>
          <w:rFonts w:ascii="Helvetica" w:hAnsi="Helvetica"/>
        </w:rPr>
      </w:pPr>
      <w:bookmarkStart w:id="153" w:name="_Ref453064730"/>
      <w:bookmarkStart w:id="154" w:name="_Toc471971586"/>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5</w:t>
      </w:r>
      <w:r>
        <w:rPr>
          <w:rFonts w:ascii="Helvetica" w:hAnsi="Helvetica"/>
        </w:rPr>
        <w:fldChar w:fldCharType="end"/>
      </w:r>
      <w:bookmarkEnd w:id="153"/>
      <w:r>
        <w:rPr>
          <w:rFonts w:ascii="Helvetica" w:hAnsi="Helvetica"/>
        </w:rPr>
        <w:t>: Launch Environment</w:t>
      </w:r>
      <w:bookmarkEnd w:id="154"/>
    </w:p>
    <w:p w14:paraId="6353C6D1" w14:textId="77777777" w:rsidR="00DB15E9" w:rsidRDefault="0078312E">
      <w:pPr>
        <w:pStyle w:val="Heading4"/>
      </w:pPr>
      <w:bookmarkStart w:id="155" w:name="_Toc471910802"/>
      <w:r>
        <w:t>Documentation</w:t>
      </w:r>
      <w:bookmarkEnd w:id="155"/>
    </w:p>
    <w:p w14:paraId="1FFF21EF" w14:textId="77777777" w:rsidR="00DB15E9" w:rsidRDefault="0078312E">
      <w:pPr>
        <w:pStyle w:val="Requirement"/>
      </w:pPr>
      <w:r>
        <w:t>The ERD will document the maximum allowable environments the Instrument will experience between Launch and Host Spacecraft / Launch Vehicle separation.</w:t>
      </w:r>
    </w:p>
    <w:p w14:paraId="19C597C8" w14:textId="77777777" w:rsidR="00DB15E9" w:rsidRDefault="0078312E">
      <w:pPr>
        <w:pStyle w:val="ESSPBodyText"/>
      </w:pPr>
      <w:r>
        <w:lastRenderedPageBreak/>
        <w:t>Rationale: The nature of the Launch Environment depends upon the choice of Host Spacecraft and Launch Vehicle.</w:t>
      </w:r>
      <w:r>
        <w:rPr>
          <w:rFonts w:ascii="Times New Roman" w:hAnsi="Times New Roman"/>
          <w:szCs w:val="24"/>
        </w:rPr>
        <w:t xml:space="preserve"> </w:t>
      </w:r>
      <w:r>
        <w:t>Significant parameters related to the launch environment include temperature, pressure, and acceleration profiles.</w:t>
      </w:r>
    </w:p>
    <w:p w14:paraId="4C5C91D9" w14:textId="77777777" w:rsidR="00DB15E9" w:rsidRDefault="0078312E">
      <w:pPr>
        <w:pStyle w:val="Heading4"/>
      </w:pPr>
      <w:bookmarkStart w:id="156" w:name="_Toc471910803"/>
      <w:r>
        <w:t>Instrument Configuration</w:t>
      </w:r>
      <w:bookmarkEnd w:id="156"/>
    </w:p>
    <w:p w14:paraId="16540288" w14:textId="77777777" w:rsidR="00DB15E9" w:rsidRDefault="0078312E">
      <w:pPr>
        <w:pStyle w:val="Requirement"/>
      </w:pPr>
      <w:r>
        <w:t>The ERD will document the configuration and operational state of the Instrument during the Launch phase.</w:t>
      </w:r>
    </w:p>
    <w:p w14:paraId="2FF1E6EF" w14:textId="77777777" w:rsidR="00DB15E9" w:rsidRDefault="0078312E">
      <w:pPr>
        <w:pStyle w:val="ESSPBodyText"/>
      </w:pPr>
      <w:r>
        <w:t>Rationale: The Launch phase is the most dynamic portion of the mission, and the Instrument configuration and operational mode are chosen to minimize damage to either the Instrument or Host Spacecraft.</w:t>
      </w:r>
      <w:r>
        <w:rPr>
          <w:rFonts w:ascii="Times New Roman" w:hAnsi="Times New Roman"/>
          <w:szCs w:val="24"/>
        </w:rPr>
        <w:t xml:space="preserve"> </w:t>
      </w:r>
      <w:r>
        <w:t xml:space="preserve">The Instrument will likely be in the </w:t>
      </w:r>
      <w:r>
        <w:rPr>
          <w:smallCaps/>
        </w:rPr>
        <w:t>Off/Survival</w:t>
      </w:r>
      <w:r>
        <w:t xml:space="preserve"> mode while in this environment.</w:t>
      </w:r>
    </w:p>
    <w:p w14:paraId="6E353C42" w14:textId="77777777" w:rsidR="00DB15E9" w:rsidRDefault="0078312E">
      <w:pPr>
        <w:pStyle w:val="ESSPBodyText"/>
      </w:pPr>
      <w:r>
        <w:t>The following guidelines are representative of a typical launch environment but may be tailored on a case-by-case basis.</w:t>
      </w:r>
    </w:p>
    <w:p w14:paraId="0B559D3A" w14:textId="77777777" w:rsidR="00DB15E9" w:rsidRDefault="0078312E">
      <w:pPr>
        <w:pStyle w:val="Heading4"/>
      </w:pPr>
      <w:bookmarkStart w:id="157" w:name="_Toc471910804"/>
      <w:r>
        <w:t>Launch Pressure Profile</w:t>
      </w:r>
      <w:bookmarkEnd w:id="157"/>
    </w:p>
    <w:p w14:paraId="6E7D6740" w14:textId="77777777" w:rsidR="00DB15E9" w:rsidRDefault="0078312E">
      <w:pPr>
        <w:pStyle w:val="Requirement"/>
      </w:pPr>
      <w:r>
        <w:t>The Instrument should function according to its operational specifications after being subjected to an atmospheric pressure decay rate of 7 kPa/s (53 Torr/s).</w:t>
      </w:r>
    </w:p>
    <w:p w14:paraId="5BEEF065" w14:textId="77777777" w:rsidR="00DB15E9" w:rsidRDefault="0078312E">
      <w:pPr>
        <w:pStyle w:val="ESSPBodyText"/>
      </w:pPr>
      <w:r>
        <w:t>Rationale: The Instrument must be able to withstand conditions typical of the AI&amp;T, launch and on-orbit environments without suffering degraded performance, damage, or inducing degraded performance of or damage to the Host Spacecraft or other payloads.</w:t>
      </w:r>
      <w:r>
        <w:rPr>
          <w:rFonts w:ascii="Times New Roman" w:hAnsi="Times New Roman"/>
          <w:szCs w:val="24"/>
        </w:rPr>
        <w:t xml:space="preserve"> </w:t>
      </w:r>
      <w:r>
        <w:t>This guidance represents the maximum expected pressure decay rate during launch ascent and applies to LEO and launch vehicles.</w:t>
      </w:r>
    </w:p>
    <w:p w14:paraId="78892D20" w14:textId="77777777" w:rsidR="00DB15E9" w:rsidRDefault="0078312E">
      <w:pPr>
        <w:pStyle w:val="Heading4"/>
      </w:pPr>
      <w:bookmarkStart w:id="158" w:name="_Toc471910805"/>
      <w:r>
        <w:t>Quasi-static Acceleration</w:t>
      </w:r>
      <w:bookmarkEnd w:id="158"/>
    </w:p>
    <w:p w14:paraId="41952E0B" w14:textId="77777777" w:rsidR="00DB15E9" w:rsidRDefault="0078312E">
      <w:pPr>
        <w:pStyle w:val="Requirement"/>
      </w:pPr>
      <w:r>
        <w:t>The Instrument should function according to its operational specifications after being subjected to a launch vehicle-induced quasi-static acceleration environment represented by the MAC defined in Table 2-4</w:t>
      </w:r>
    </w:p>
    <w:p w14:paraId="13143AEF" w14:textId="77777777" w:rsidR="00DB15E9" w:rsidRDefault="0078312E">
      <w:pPr>
        <w:pStyle w:val="ESSPTableCaption"/>
      </w:pPr>
      <w:bookmarkStart w:id="159" w:name="_Toc471971552"/>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4</w:t>
      </w:r>
      <w:r w:rsidR="00BA5284">
        <w:rPr>
          <w:noProof/>
        </w:rPr>
        <w:fldChar w:fldCharType="end"/>
      </w:r>
      <w:r>
        <w:t>: Mass Acceleration Curve Design Limit Loads</w:t>
      </w:r>
      <w:bookmarkEnd w:id="159"/>
    </w:p>
    <w:tbl>
      <w:tblPr>
        <w:tblStyle w:val="TableGrid8"/>
        <w:tblW w:w="0" w:type="auto"/>
        <w:jc w:val="center"/>
        <w:tblBorders>
          <w:insideH w:val="single" w:sz="6" w:space="0" w:color="auto"/>
          <w:insideV w:val="single" w:sz="6" w:space="0" w:color="auto"/>
        </w:tblBorders>
        <w:tblLook w:val="04A0" w:firstRow="1" w:lastRow="0" w:firstColumn="1" w:lastColumn="0" w:noHBand="0" w:noVBand="1"/>
      </w:tblPr>
      <w:tblGrid>
        <w:gridCol w:w="1885"/>
        <w:gridCol w:w="3780"/>
      </w:tblGrid>
      <w:tr w:rsidR="00DB15E9" w14:paraId="4748C691" w14:textId="77777777" w:rsidTr="00DB15E9">
        <w:trPr>
          <w:cnfStyle w:val="100000000000" w:firstRow="1" w:lastRow="0" w:firstColumn="0" w:lastColumn="0" w:oddVBand="0" w:evenVBand="0" w:oddHBand="0" w:evenHBand="0" w:firstRowFirstColumn="0" w:firstRowLastColumn="0" w:lastRowFirstColumn="0" w:lastRowLastColumn="0"/>
          <w:jc w:val="center"/>
        </w:trPr>
        <w:tc>
          <w:tcPr>
            <w:tcW w:w="18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259BA0" w14:textId="77777777" w:rsidR="00DB15E9" w:rsidRDefault="0078312E">
            <w:pPr>
              <w:pStyle w:val="ESSPFigure"/>
              <w:rPr>
                <w:rFonts w:ascii="Helvetica" w:hAnsi="Helvetica"/>
                <w:noProof w:val="0"/>
              </w:rPr>
            </w:pPr>
            <w:r>
              <w:rPr>
                <w:rFonts w:ascii="Helvetica" w:hAnsi="Helvetica"/>
                <w:noProof w:val="0"/>
              </w:rPr>
              <w:t>Mass [kg]</w:t>
            </w:r>
          </w:p>
        </w:tc>
        <w:tc>
          <w:tcPr>
            <w:tcW w:w="37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CFF076" w14:textId="77777777" w:rsidR="00DB15E9" w:rsidRDefault="0078312E">
            <w:pPr>
              <w:pStyle w:val="ESSPFigure"/>
              <w:rPr>
                <w:rFonts w:ascii="Helvetica" w:hAnsi="Helvetica"/>
                <w:noProof w:val="0"/>
              </w:rPr>
            </w:pPr>
            <w:r>
              <w:rPr>
                <w:rFonts w:ascii="Helvetica" w:hAnsi="Helvetica"/>
                <w:noProof w:val="0"/>
              </w:rPr>
              <w:t>Limit Load [g] (any direction)</w:t>
            </w:r>
          </w:p>
        </w:tc>
      </w:tr>
      <w:tr w:rsidR="00DB15E9" w14:paraId="263B34A6" w14:textId="77777777" w:rsidTr="00DB15E9">
        <w:trPr>
          <w:jc w:val="center"/>
        </w:trPr>
        <w:tc>
          <w:tcPr>
            <w:tcW w:w="1885" w:type="dxa"/>
          </w:tcPr>
          <w:p w14:paraId="4DF69180" w14:textId="77777777" w:rsidR="00DB15E9" w:rsidRDefault="0078312E">
            <w:pPr>
              <w:pStyle w:val="ESSPFigure"/>
              <w:rPr>
                <w:rFonts w:ascii="Helvetica" w:hAnsi="Helvetica"/>
                <w:noProof w:val="0"/>
              </w:rPr>
            </w:pPr>
            <w:r>
              <w:rPr>
                <w:rFonts w:ascii="Helvetica" w:hAnsi="Helvetica"/>
                <w:noProof w:val="0"/>
              </w:rPr>
              <w:t>1</w:t>
            </w:r>
          </w:p>
        </w:tc>
        <w:tc>
          <w:tcPr>
            <w:tcW w:w="3780" w:type="dxa"/>
          </w:tcPr>
          <w:p w14:paraId="0738B9C3" w14:textId="77777777" w:rsidR="00DB15E9" w:rsidRDefault="0078312E">
            <w:pPr>
              <w:pStyle w:val="ESSPFigure"/>
              <w:rPr>
                <w:rFonts w:ascii="Helvetica" w:hAnsi="Helvetica"/>
                <w:noProof w:val="0"/>
              </w:rPr>
            </w:pPr>
            <w:r>
              <w:rPr>
                <w:rFonts w:ascii="Helvetica" w:hAnsi="Helvetica"/>
                <w:noProof w:val="0"/>
              </w:rPr>
              <w:t>68.0</w:t>
            </w:r>
          </w:p>
        </w:tc>
      </w:tr>
      <w:tr w:rsidR="00DB15E9" w14:paraId="5C07FE7F" w14:textId="77777777" w:rsidTr="00DB15E9">
        <w:trPr>
          <w:jc w:val="center"/>
        </w:trPr>
        <w:tc>
          <w:tcPr>
            <w:tcW w:w="1885" w:type="dxa"/>
          </w:tcPr>
          <w:p w14:paraId="485F90BB" w14:textId="77777777" w:rsidR="00DB15E9" w:rsidRDefault="0078312E">
            <w:pPr>
              <w:pStyle w:val="ESSPFigure"/>
              <w:rPr>
                <w:rFonts w:ascii="Helvetica" w:hAnsi="Helvetica"/>
                <w:noProof w:val="0"/>
              </w:rPr>
            </w:pPr>
            <w:r>
              <w:rPr>
                <w:rFonts w:ascii="Helvetica" w:hAnsi="Helvetica"/>
                <w:noProof w:val="0"/>
              </w:rPr>
              <w:t>5</w:t>
            </w:r>
          </w:p>
        </w:tc>
        <w:tc>
          <w:tcPr>
            <w:tcW w:w="3780" w:type="dxa"/>
          </w:tcPr>
          <w:p w14:paraId="15403A44" w14:textId="77777777" w:rsidR="00DB15E9" w:rsidRDefault="0078312E">
            <w:pPr>
              <w:pStyle w:val="ESSPFigure"/>
              <w:rPr>
                <w:rFonts w:ascii="Helvetica" w:hAnsi="Helvetica"/>
                <w:noProof w:val="0"/>
              </w:rPr>
            </w:pPr>
            <w:r>
              <w:rPr>
                <w:rFonts w:ascii="Helvetica" w:hAnsi="Helvetica"/>
                <w:noProof w:val="0"/>
              </w:rPr>
              <w:t>49.0</w:t>
            </w:r>
          </w:p>
        </w:tc>
      </w:tr>
      <w:tr w:rsidR="00DB15E9" w14:paraId="58A9C101" w14:textId="77777777" w:rsidTr="00DB15E9">
        <w:trPr>
          <w:jc w:val="center"/>
        </w:trPr>
        <w:tc>
          <w:tcPr>
            <w:tcW w:w="1885" w:type="dxa"/>
          </w:tcPr>
          <w:p w14:paraId="39BB2607" w14:textId="77777777" w:rsidR="00DB15E9" w:rsidRDefault="0078312E">
            <w:pPr>
              <w:pStyle w:val="ESSPFigure"/>
              <w:rPr>
                <w:rFonts w:ascii="Helvetica" w:hAnsi="Helvetica"/>
                <w:noProof w:val="0"/>
              </w:rPr>
            </w:pPr>
            <w:r>
              <w:rPr>
                <w:rFonts w:ascii="Helvetica" w:hAnsi="Helvetica"/>
                <w:noProof w:val="0"/>
              </w:rPr>
              <w:t>10</w:t>
            </w:r>
          </w:p>
        </w:tc>
        <w:tc>
          <w:tcPr>
            <w:tcW w:w="3780" w:type="dxa"/>
          </w:tcPr>
          <w:p w14:paraId="5BAEB6DA" w14:textId="77777777" w:rsidR="00DB15E9" w:rsidRDefault="0078312E">
            <w:pPr>
              <w:pStyle w:val="ESSPFigure"/>
              <w:rPr>
                <w:rFonts w:ascii="Helvetica" w:hAnsi="Helvetica"/>
                <w:noProof w:val="0"/>
              </w:rPr>
            </w:pPr>
            <w:r>
              <w:rPr>
                <w:rFonts w:ascii="Helvetica" w:hAnsi="Helvetica"/>
                <w:noProof w:val="0"/>
              </w:rPr>
              <w:t>39.8</w:t>
            </w:r>
          </w:p>
        </w:tc>
      </w:tr>
      <w:tr w:rsidR="00DB15E9" w14:paraId="0C84C3E3" w14:textId="77777777" w:rsidTr="00DB15E9">
        <w:trPr>
          <w:jc w:val="center"/>
        </w:trPr>
        <w:tc>
          <w:tcPr>
            <w:tcW w:w="1885" w:type="dxa"/>
          </w:tcPr>
          <w:p w14:paraId="035E2E37" w14:textId="77777777" w:rsidR="00DB15E9" w:rsidRDefault="0078312E">
            <w:pPr>
              <w:pStyle w:val="ESSPFigure"/>
              <w:rPr>
                <w:rFonts w:ascii="Helvetica" w:hAnsi="Helvetica"/>
                <w:noProof w:val="0"/>
              </w:rPr>
            </w:pPr>
            <w:r>
              <w:rPr>
                <w:rFonts w:ascii="Helvetica" w:hAnsi="Helvetica"/>
                <w:noProof w:val="0"/>
              </w:rPr>
              <w:t>20</w:t>
            </w:r>
          </w:p>
        </w:tc>
        <w:tc>
          <w:tcPr>
            <w:tcW w:w="3780" w:type="dxa"/>
          </w:tcPr>
          <w:p w14:paraId="4F1FA834" w14:textId="77777777" w:rsidR="00DB15E9" w:rsidRDefault="0078312E">
            <w:pPr>
              <w:pStyle w:val="ESSPFigure"/>
              <w:rPr>
                <w:rFonts w:ascii="Helvetica" w:hAnsi="Helvetica"/>
                <w:noProof w:val="0"/>
              </w:rPr>
            </w:pPr>
            <w:r>
              <w:rPr>
                <w:rFonts w:ascii="Helvetica" w:hAnsi="Helvetica"/>
                <w:noProof w:val="0"/>
              </w:rPr>
              <w:t>31.2</w:t>
            </w:r>
          </w:p>
        </w:tc>
      </w:tr>
      <w:tr w:rsidR="00DB15E9" w14:paraId="58F481E8" w14:textId="77777777" w:rsidTr="00DB15E9">
        <w:trPr>
          <w:jc w:val="center"/>
        </w:trPr>
        <w:tc>
          <w:tcPr>
            <w:tcW w:w="1885" w:type="dxa"/>
          </w:tcPr>
          <w:p w14:paraId="5C5B8BA4" w14:textId="77777777" w:rsidR="00DB15E9" w:rsidRDefault="0078312E">
            <w:pPr>
              <w:pStyle w:val="ESSPFigure"/>
              <w:rPr>
                <w:rFonts w:ascii="Helvetica" w:hAnsi="Helvetica"/>
                <w:noProof w:val="0"/>
              </w:rPr>
            </w:pPr>
            <w:r>
              <w:rPr>
                <w:rFonts w:ascii="Helvetica" w:hAnsi="Helvetica"/>
                <w:noProof w:val="0"/>
              </w:rPr>
              <w:t>40</w:t>
            </w:r>
          </w:p>
        </w:tc>
        <w:tc>
          <w:tcPr>
            <w:tcW w:w="3780" w:type="dxa"/>
          </w:tcPr>
          <w:p w14:paraId="3F090AEA" w14:textId="77777777" w:rsidR="00DB15E9" w:rsidRDefault="0078312E">
            <w:pPr>
              <w:pStyle w:val="ESSPFigure"/>
              <w:rPr>
                <w:rFonts w:ascii="Helvetica" w:hAnsi="Helvetica"/>
                <w:noProof w:val="0"/>
              </w:rPr>
            </w:pPr>
            <w:r>
              <w:rPr>
                <w:rFonts w:ascii="Helvetica" w:hAnsi="Helvetica"/>
                <w:noProof w:val="0"/>
              </w:rPr>
              <w:t>23.8</w:t>
            </w:r>
          </w:p>
        </w:tc>
      </w:tr>
      <w:tr w:rsidR="00DB15E9" w14:paraId="0252C63D" w14:textId="77777777" w:rsidTr="00DB15E9">
        <w:trPr>
          <w:jc w:val="center"/>
        </w:trPr>
        <w:tc>
          <w:tcPr>
            <w:tcW w:w="1885" w:type="dxa"/>
          </w:tcPr>
          <w:p w14:paraId="37288563" w14:textId="77777777" w:rsidR="00DB15E9" w:rsidRDefault="0078312E">
            <w:pPr>
              <w:pStyle w:val="ESSPFigure"/>
              <w:rPr>
                <w:rFonts w:ascii="Helvetica" w:hAnsi="Helvetica"/>
                <w:noProof w:val="0"/>
              </w:rPr>
            </w:pPr>
            <w:r>
              <w:rPr>
                <w:rFonts w:ascii="Helvetica" w:hAnsi="Helvetica"/>
                <w:noProof w:val="0"/>
              </w:rPr>
              <w:t>60</w:t>
            </w:r>
          </w:p>
        </w:tc>
        <w:tc>
          <w:tcPr>
            <w:tcW w:w="3780" w:type="dxa"/>
          </w:tcPr>
          <w:p w14:paraId="2891F438" w14:textId="77777777" w:rsidR="00DB15E9" w:rsidRDefault="0078312E">
            <w:pPr>
              <w:pStyle w:val="ESSPFigure"/>
              <w:rPr>
                <w:rFonts w:ascii="Helvetica" w:hAnsi="Helvetica"/>
                <w:noProof w:val="0"/>
              </w:rPr>
            </w:pPr>
            <w:r>
              <w:rPr>
                <w:rFonts w:ascii="Helvetica" w:hAnsi="Helvetica"/>
                <w:noProof w:val="0"/>
              </w:rPr>
              <w:t>20.2</w:t>
            </w:r>
          </w:p>
        </w:tc>
      </w:tr>
      <w:tr w:rsidR="00DB15E9" w14:paraId="750C99E3" w14:textId="77777777" w:rsidTr="00DB15E9">
        <w:trPr>
          <w:jc w:val="center"/>
        </w:trPr>
        <w:tc>
          <w:tcPr>
            <w:tcW w:w="1885" w:type="dxa"/>
          </w:tcPr>
          <w:p w14:paraId="3C8BC6FC" w14:textId="77777777" w:rsidR="00DB15E9" w:rsidRDefault="0078312E">
            <w:pPr>
              <w:pStyle w:val="ESSPFigure"/>
              <w:rPr>
                <w:rFonts w:ascii="Helvetica" w:hAnsi="Helvetica"/>
                <w:noProof w:val="0"/>
              </w:rPr>
            </w:pPr>
            <w:r>
              <w:rPr>
                <w:rFonts w:ascii="Helvetica" w:hAnsi="Helvetica"/>
                <w:noProof w:val="0"/>
              </w:rPr>
              <w:t>80</w:t>
            </w:r>
          </w:p>
        </w:tc>
        <w:tc>
          <w:tcPr>
            <w:tcW w:w="3780" w:type="dxa"/>
          </w:tcPr>
          <w:p w14:paraId="595D8D8F" w14:textId="77777777" w:rsidR="00DB15E9" w:rsidRDefault="0078312E">
            <w:pPr>
              <w:pStyle w:val="ESSPFigure"/>
              <w:rPr>
                <w:rFonts w:ascii="Helvetica" w:hAnsi="Helvetica"/>
                <w:noProof w:val="0"/>
              </w:rPr>
            </w:pPr>
            <w:r>
              <w:rPr>
                <w:rFonts w:ascii="Helvetica" w:hAnsi="Helvetica"/>
                <w:noProof w:val="0"/>
              </w:rPr>
              <w:t>17.8</w:t>
            </w:r>
          </w:p>
        </w:tc>
      </w:tr>
      <w:tr w:rsidR="00DB15E9" w14:paraId="5367636B" w14:textId="77777777" w:rsidTr="00DB15E9">
        <w:trPr>
          <w:jc w:val="center"/>
        </w:trPr>
        <w:tc>
          <w:tcPr>
            <w:tcW w:w="1885" w:type="dxa"/>
          </w:tcPr>
          <w:p w14:paraId="7F788BBA" w14:textId="77777777" w:rsidR="00DB15E9" w:rsidRDefault="0078312E">
            <w:pPr>
              <w:pStyle w:val="ESSPFigure"/>
              <w:rPr>
                <w:rFonts w:ascii="Helvetica" w:hAnsi="Helvetica"/>
                <w:noProof w:val="0"/>
              </w:rPr>
            </w:pPr>
            <w:r>
              <w:rPr>
                <w:rFonts w:ascii="Helvetica" w:hAnsi="Helvetica"/>
                <w:noProof w:val="0"/>
              </w:rPr>
              <w:t>100</w:t>
            </w:r>
          </w:p>
        </w:tc>
        <w:tc>
          <w:tcPr>
            <w:tcW w:w="3780" w:type="dxa"/>
          </w:tcPr>
          <w:p w14:paraId="4E955EEC" w14:textId="77777777" w:rsidR="00DB15E9" w:rsidRDefault="0078312E">
            <w:pPr>
              <w:pStyle w:val="ESSPFigure"/>
              <w:rPr>
                <w:rFonts w:ascii="Helvetica" w:hAnsi="Helvetica"/>
                <w:noProof w:val="0"/>
              </w:rPr>
            </w:pPr>
            <w:r>
              <w:rPr>
                <w:rFonts w:ascii="Helvetica" w:hAnsi="Helvetica"/>
                <w:noProof w:val="0"/>
              </w:rPr>
              <w:t>16.2</w:t>
            </w:r>
          </w:p>
        </w:tc>
      </w:tr>
      <w:tr w:rsidR="00DB15E9" w14:paraId="3DB6574A" w14:textId="77777777" w:rsidTr="00DB15E9">
        <w:trPr>
          <w:jc w:val="center"/>
        </w:trPr>
        <w:tc>
          <w:tcPr>
            <w:tcW w:w="1885" w:type="dxa"/>
          </w:tcPr>
          <w:p w14:paraId="405DD7FD" w14:textId="77777777" w:rsidR="00DB15E9" w:rsidRDefault="0078312E">
            <w:pPr>
              <w:pStyle w:val="ESSPFigure"/>
              <w:rPr>
                <w:rFonts w:ascii="Helvetica" w:hAnsi="Helvetica"/>
                <w:noProof w:val="0"/>
              </w:rPr>
            </w:pPr>
            <w:r>
              <w:rPr>
                <w:rFonts w:ascii="Helvetica" w:hAnsi="Helvetica"/>
                <w:noProof w:val="0"/>
              </w:rPr>
              <w:t>125</w:t>
            </w:r>
          </w:p>
        </w:tc>
        <w:tc>
          <w:tcPr>
            <w:tcW w:w="3780" w:type="dxa"/>
          </w:tcPr>
          <w:p w14:paraId="6B33CFC3" w14:textId="77777777" w:rsidR="00DB15E9" w:rsidRDefault="0078312E">
            <w:pPr>
              <w:pStyle w:val="ESSPFigure"/>
              <w:rPr>
                <w:rFonts w:ascii="Helvetica" w:hAnsi="Helvetica"/>
                <w:noProof w:val="0"/>
              </w:rPr>
            </w:pPr>
            <w:r>
              <w:rPr>
                <w:rFonts w:ascii="Helvetica" w:hAnsi="Helvetica"/>
                <w:noProof w:val="0"/>
              </w:rPr>
              <w:t>14.7</w:t>
            </w:r>
          </w:p>
        </w:tc>
      </w:tr>
      <w:tr w:rsidR="00DB15E9" w14:paraId="6B30FB6D" w14:textId="77777777" w:rsidTr="00DB15E9">
        <w:trPr>
          <w:jc w:val="center"/>
        </w:trPr>
        <w:tc>
          <w:tcPr>
            <w:tcW w:w="1885" w:type="dxa"/>
          </w:tcPr>
          <w:p w14:paraId="173F77A5" w14:textId="77777777" w:rsidR="00DB15E9" w:rsidRDefault="0078312E">
            <w:pPr>
              <w:pStyle w:val="ESSPFigure"/>
              <w:rPr>
                <w:rFonts w:ascii="Helvetica" w:hAnsi="Helvetica"/>
                <w:noProof w:val="0"/>
              </w:rPr>
            </w:pPr>
            <w:r>
              <w:rPr>
                <w:rFonts w:ascii="Helvetica" w:hAnsi="Helvetica"/>
                <w:noProof w:val="0"/>
              </w:rPr>
              <w:t>150</w:t>
            </w:r>
          </w:p>
        </w:tc>
        <w:tc>
          <w:tcPr>
            <w:tcW w:w="3780" w:type="dxa"/>
          </w:tcPr>
          <w:p w14:paraId="78DDAC89" w14:textId="77777777" w:rsidR="00DB15E9" w:rsidRDefault="0078312E">
            <w:pPr>
              <w:pStyle w:val="ESSPFigure"/>
              <w:rPr>
                <w:rFonts w:ascii="Helvetica" w:hAnsi="Helvetica"/>
                <w:noProof w:val="0"/>
              </w:rPr>
            </w:pPr>
            <w:r>
              <w:rPr>
                <w:rFonts w:ascii="Helvetica" w:hAnsi="Helvetica"/>
                <w:noProof w:val="0"/>
              </w:rPr>
              <w:t>13.5</w:t>
            </w:r>
          </w:p>
        </w:tc>
      </w:tr>
      <w:tr w:rsidR="00DB15E9" w14:paraId="21C56A1D" w14:textId="77777777" w:rsidTr="00DB15E9">
        <w:trPr>
          <w:jc w:val="center"/>
        </w:trPr>
        <w:tc>
          <w:tcPr>
            <w:tcW w:w="1885" w:type="dxa"/>
          </w:tcPr>
          <w:p w14:paraId="512A87F2" w14:textId="77777777" w:rsidR="00DB15E9" w:rsidRDefault="0078312E">
            <w:pPr>
              <w:pStyle w:val="ESSPFigure"/>
              <w:rPr>
                <w:rFonts w:ascii="Helvetica" w:hAnsi="Helvetica"/>
                <w:noProof w:val="0"/>
              </w:rPr>
            </w:pPr>
            <w:r>
              <w:rPr>
                <w:rFonts w:ascii="Helvetica" w:hAnsi="Helvetica"/>
                <w:noProof w:val="0"/>
              </w:rPr>
              <w:t>175</w:t>
            </w:r>
          </w:p>
        </w:tc>
        <w:tc>
          <w:tcPr>
            <w:tcW w:w="3780" w:type="dxa"/>
          </w:tcPr>
          <w:p w14:paraId="67AE38C9" w14:textId="77777777" w:rsidR="00DB15E9" w:rsidRDefault="0078312E">
            <w:pPr>
              <w:pStyle w:val="ESSPFigure"/>
              <w:rPr>
                <w:rFonts w:ascii="Helvetica" w:hAnsi="Helvetica"/>
                <w:noProof w:val="0"/>
              </w:rPr>
            </w:pPr>
            <w:r>
              <w:rPr>
                <w:rFonts w:ascii="Helvetica" w:hAnsi="Helvetica"/>
                <w:noProof w:val="0"/>
              </w:rPr>
              <w:t>12.6</w:t>
            </w:r>
          </w:p>
        </w:tc>
      </w:tr>
      <w:tr w:rsidR="00DB15E9" w14:paraId="72FD443A" w14:textId="77777777" w:rsidTr="00DB15E9">
        <w:trPr>
          <w:jc w:val="center"/>
        </w:trPr>
        <w:tc>
          <w:tcPr>
            <w:tcW w:w="1885" w:type="dxa"/>
          </w:tcPr>
          <w:p w14:paraId="2D848E03" w14:textId="77777777" w:rsidR="00DB15E9" w:rsidRDefault="0078312E">
            <w:pPr>
              <w:pStyle w:val="ESSPFigure"/>
              <w:keepNext w:val="0"/>
              <w:rPr>
                <w:rFonts w:ascii="Helvetica" w:hAnsi="Helvetica"/>
                <w:noProof w:val="0"/>
              </w:rPr>
            </w:pPr>
            <w:r>
              <w:rPr>
                <w:rFonts w:ascii="Helvetica" w:hAnsi="Helvetica"/>
                <w:noProof w:val="0"/>
              </w:rPr>
              <w:t>200 or Greater</w:t>
            </w:r>
          </w:p>
        </w:tc>
        <w:tc>
          <w:tcPr>
            <w:tcW w:w="3780" w:type="dxa"/>
          </w:tcPr>
          <w:p w14:paraId="5148DAC3" w14:textId="77777777" w:rsidR="00DB15E9" w:rsidRDefault="0078312E">
            <w:pPr>
              <w:pStyle w:val="ESSPFigure"/>
              <w:keepNext w:val="0"/>
              <w:rPr>
                <w:rFonts w:ascii="Helvetica" w:hAnsi="Helvetica"/>
                <w:noProof w:val="0"/>
              </w:rPr>
            </w:pPr>
            <w:r>
              <w:rPr>
                <w:rFonts w:ascii="Helvetica" w:hAnsi="Helvetica"/>
                <w:noProof w:val="0"/>
              </w:rPr>
              <w:t>12.0</w:t>
            </w:r>
          </w:p>
        </w:tc>
      </w:tr>
    </w:tbl>
    <w:p w14:paraId="792F59A8" w14:textId="77777777" w:rsidR="00DB15E9" w:rsidRDefault="0078312E">
      <w:pPr>
        <w:pStyle w:val="ESSPBodyText"/>
      </w:pPr>
      <w:r>
        <w:lastRenderedPageBreak/>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This guidance represents the need to be compatible with the quasi-static loads that will be experienced during launch ascent.</w:t>
      </w:r>
      <w:r>
        <w:rPr>
          <w:rFonts w:ascii="Times New Roman" w:hAnsi="Times New Roman"/>
          <w:szCs w:val="24"/>
        </w:rPr>
        <w:t xml:space="preserve"> </w:t>
      </w:r>
      <w:r>
        <w:t>The LEO guideline is the all-satisfy strategy scenario, and the loads shown in Table</w:t>
      </w:r>
      <w:r>
        <w:rPr>
          <w:rFonts w:ascii="Times New Roman" w:hAnsi="Times New Roman"/>
          <w:szCs w:val="24"/>
        </w:rPr>
        <w:t xml:space="preserve"> </w:t>
      </w:r>
      <w:r>
        <w:t>2-4 should be updated based on a launch vehicle specific set of MAC loads or the results of coupled loads analysis when this information becomes available.</w:t>
      </w:r>
    </w:p>
    <w:p w14:paraId="288F7426" w14:textId="77777777" w:rsidR="00DB15E9" w:rsidRDefault="0078312E">
      <w:pPr>
        <w:pStyle w:val="ESSPBodyText"/>
      </w:pPr>
      <w:r>
        <w:t>The “Mass” is the mass of the entire instrument or any component of the instrument.</w:t>
      </w:r>
      <w:r>
        <w:rPr>
          <w:rFonts w:ascii="Times New Roman" w:hAnsi="Times New Roman"/>
          <w:szCs w:val="24"/>
        </w:rPr>
        <w:t xml:space="preserve"> </w:t>
      </w:r>
      <w:r>
        <w:t>The MAC applies to the worst-case single direction, which might not be aligned with coordinate directions, to produce the greatest load component (axial load, bending moment, reaction component, stress level, etc.) being investigated and also to the two remaining orthogonal directions</w:t>
      </w:r>
    </w:p>
    <w:p w14:paraId="2267A1DC" w14:textId="77777777" w:rsidR="00DB15E9" w:rsidRDefault="0078312E">
      <w:pPr>
        <w:pStyle w:val="Heading4"/>
      </w:pPr>
      <w:bookmarkStart w:id="160" w:name="_Toc471910806"/>
      <w:r>
        <w:t>Sinusoidal Vibration</w:t>
      </w:r>
      <w:bookmarkEnd w:id="160"/>
    </w:p>
    <w:p w14:paraId="7CB93668" w14:textId="77777777" w:rsidR="00DB15E9" w:rsidRDefault="0078312E">
      <w:pPr>
        <w:pStyle w:val="Requirement"/>
      </w:pPr>
      <w:r>
        <w:t>The Instrument should function according to its operational specifications after being subjected to a launch vehicle-induced transient environment represented by the sinusoidal vibration environment defined in Table 2-5.</w:t>
      </w:r>
    </w:p>
    <w:p w14:paraId="68692A8A" w14:textId="77777777" w:rsidR="00DB15E9" w:rsidRDefault="0078312E">
      <w:pPr>
        <w:pStyle w:val="ESSPTableCaption"/>
      </w:pPr>
      <w:bookmarkStart w:id="161" w:name="_Toc471971553"/>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5</w:t>
      </w:r>
      <w:r w:rsidR="00BA5284">
        <w:rPr>
          <w:noProof/>
        </w:rPr>
        <w:fldChar w:fldCharType="end"/>
      </w:r>
      <w:r>
        <w:t>: Sinusoidal Vibration Environment</w:t>
      </w:r>
      <w:bookmarkEnd w:id="161"/>
    </w:p>
    <w:tbl>
      <w:tblPr>
        <w:tblStyle w:val="TableGrid8"/>
        <w:tblW w:w="0" w:type="auto"/>
        <w:tblLook w:val="04A0" w:firstRow="1" w:lastRow="0" w:firstColumn="1" w:lastColumn="0" w:noHBand="0" w:noVBand="1"/>
      </w:tblPr>
      <w:tblGrid>
        <w:gridCol w:w="3123"/>
        <w:gridCol w:w="3118"/>
        <w:gridCol w:w="3119"/>
      </w:tblGrid>
      <w:tr w:rsidR="00DB15E9" w14:paraId="08430FDE" w14:textId="77777777" w:rsidTr="00DB15E9">
        <w:trPr>
          <w:cnfStyle w:val="100000000000" w:firstRow="1" w:lastRow="0" w:firstColumn="0" w:lastColumn="0" w:oddVBand="0" w:evenVBand="0" w:oddHBand="0" w:evenHBand="0" w:firstRowFirstColumn="0" w:firstRowLastColumn="0" w:lastRowFirstColumn="0" w:lastRowLastColumn="0"/>
          <w:trHeight w:val="52"/>
        </w:trPr>
        <w:tc>
          <w:tcPr>
            <w:tcW w:w="3192" w:type="dxa"/>
            <w:vMerge w:val="restart"/>
          </w:tcPr>
          <w:p w14:paraId="2591EC97" w14:textId="77777777" w:rsidR="00DB15E9" w:rsidRDefault="0078312E">
            <w:pPr>
              <w:pStyle w:val="ESSPTableText"/>
            </w:pPr>
            <w:r>
              <w:t>Frequency (Hz)</w:t>
            </w:r>
          </w:p>
        </w:tc>
        <w:tc>
          <w:tcPr>
            <w:tcW w:w="6384" w:type="dxa"/>
            <w:gridSpan w:val="2"/>
          </w:tcPr>
          <w:p w14:paraId="6A2E2B61" w14:textId="77777777" w:rsidR="00DB15E9" w:rsidRDefault="0078312E">
            <w:pPr>
              <w:pStyle w:val="ESSPTableText"/>
              <w:rPr>
                <w:b w:val="0"/>
              </w:rPr>
            </w:pPr>
            <w:r>
              <w:t>Amplitude</w:t>
            </w:r>
          </w:p>
        </w:tc>
      </w:tr>
      <w:tr w:rsidR="00DB15E9" w14:paraId="44F9D8EC" w14:textId="77777777" w:rsidTr="00DB15E9">
        <w:trPr>
          <w:trHeight w:val="72"/>
        </w:trPr>
        <w:tc>
          <w:tcPr>
            <w:tcW w:w="3192" w:type="dxa"/>
            <w:vMerge/>
          </w:tcPr>
          <w:p w14:paraId="0FC47325" w14:textId="77777777" w:rsidR="00DB15E9" w:rsidRDefault="00DB15E9">
            <w:pPr>
              <w:pStyle w:val="ESSPTableText"/>
            </w:pPr>
          </w:p>
        </w:tc>
        <w:tc>
          <w:tcPr>
            <w:tcW w:w="3192" w:type="dxa"/>
            <w:shd w:val="clear" w:color="auto" w:fill="000000" w:themeFill="text1"/>
          </w:tcPr>
          <w:p w14:paraId="7E820E75" w14:textId="77777777" w:rsidR="00DB15E9" w:rsidRDefault="0078312E">
            <w:pPr>
              <w:pStyle w:val="ESSPTableText"/>
            </w:pPr>
            <w:r>
              <w:t>Flight Level</w:t>
            </w:r>
          </w:p>
        </w:tc>
        <w:tc>
          <w:tcPr>
            <w:tcW w:w="3192" w:type="dxa"/>
            <w:shd w:val="clear" w:color="auto" w:fill="000000" w:themeFill="text1"/>
          </w:tcPr>
          <w:p w14:paraId="5E718B4C" w14:textId="77777777" w:rsidR="00DB15E9" w:rsidRDefault="0078312E">
            <w:pPr>
              <w:pStyle w:val="ESSPTableText"/>
            </w:pPr>
            <w:r>
              <w:t>Protoflight/ Qual Level</w:t>
            </w:r>
          </w:p>
        </w:tc>
      </w:tr>
      <w:tr w:rsidR="00DB15E9" w14:paraId="51A91DCD" w14:textId="77777777" w:rsidTr="00DB15E9">
        <w:trPr>
          <w:trHeight w:val="50"/>
        </w:trPr>
        <w:tc>
          <w:tcPr>
            <w:tcW w:w="3192" w:type="dxa"/>
          </w:tcPr>
          <w:p w14:paraId="4003A84E" w14:textId="77777777" w:rsidR="00DB15E9" w:rsidRDefault="0078312E">
            <w:pPr>
              <w:pStyle w:val="ESSPTableText"/>
            </w:pPr>
            <w:r>
              <w:t>5 – 20</w:t>
            </w:r>
          </w:p>
        </w:tc>
        <w:tc>
          <w:tcPr>
            <w:tcW w:w="3192" w:type="dxa"/>
          </w:tcPr>
          <w:p w14:paraId="675C989E" w14:textId="77777777" w:rsidR="00DB15E9" w:rsidRDefault="0078312E">
            <w:pPr>
              <w:pStyle w:val="ESSPTableText"/>
            </w:pPr>
            <w:r>
              <w:t>12.7 mm (double amplitude)</w:t>
            </w:r>
          </w:p>
        </w:tc>
        <w:tc>
          <w:tcPr>
            <w:tcW w:w="3192" w:type="dxa"/>
          </w:tcPr>
          <w:p w14:paraId="6657CEE5" w14:textId="77777777" w:rsidR="00DB15E9" w:rsidRDefault="0078312E">
            <w:pPr>
              <w:pStyle w:val="ESSPTableText"/>
            </w:pPr>
            <w:r>
              <w:t>16 mm</w:t>
            </w:r>
            <w:r>
              <w:rPr>
                <w:rFonts w:ascii="Times New Roman" w:hAnsi="Times New Roman"/>
                <w:szCs w:val="24"/>
              </w:rPr>
              <w:t xml:space="preserve"> </w:t>
            </w:r>
            <w:r>
              <w:t>(double amplitude)</w:t>
            </w:r>
          </w:p>
        </w:tc>
      </w:tr>
      <w:tr w:rsidR="00DB15E9" w14:paraId="20FB6BED" w14:textId="77777777" w:rsidTr="00DB15E9">
        <w:trPr>
          <w:trHeight w:val="50"/>
        </w:trPr>
        <w:tc>
          <w:tcPr>
            <w:tcW w:w="3192" w:type="dxa"/>
          </w:tcPr>
          <w:p w14:paraId="5FE92FEA" w14:textId="77777777" w:rsidR="00DB15E9" w:rsidRDefault="0078312E">
            <w:pPr>
              <w:pStyle w:val="ESSPTableText"/>
            </w:pPr>
            <w:r>
              <w:t>20 – 100</w:t>
            </w:r>
          </w:p>
        </w:tc>
        <w:tc>
          <w:tcPr>
            <w:tcW w:w="3192" w:type="dxa"/>
          </w:tcPr>
          <w:p w14:paraId="0FE01A2C" w14:textId="77777777" w:rsidR="00DB15E9" w:rsidRDefault="0078312E">
            <w:pPr>
              <w:pStyle w:val="ESSPTableText"/>
            </w:pPr>
            <w:r>
              <w:t>10.0</w:t>
            </w:r>
          </w:p>
        </w:tc>
        <w:tc>
          <w:tcPr>
            <w:tcW w:w="3192" w:type="dxa"/>
          </w:tcPr>
          <w:p w14:paraId="2358CE9F" w14:textId="77777777" w:rsidR="00DB15E9" w:rsidRDefault="0078312E">
            <w:pPr>
              <w:pStyle w:val="ESSPTableText"/>
            </w:pPr>
            <w:r>
              <w:t xml:space="preserve">12.5 g </w:t>
            </w:r>
          </w:p>
        </w:tc>
      </w:tr>
      <w:tr w:rsidR="00DB15E9" w14:paraId="4153DCD2" w14:textId="77777777" w:rsidTr="00DB15E9">
        <w:trPr>
          <w:trHeight w:val="50"/>
        </w:trPr>
        <w:tc>
          <w:tcPr>
            <w:tcW w:w="9576" w:type="dxa"/>
            <w:gridSpan w:val="3"/>
          </w:tcPr>
          <w:p w14:paraId="6868257B" w14:textId="77777777" w:rsidR="00DB15E9" w:rsidRDefault="0078312E">
            <w:pPr>
              <w:pStyle w:val="ESSPTableText"/>
            </w:pPr>
            <w:r>
              <w:t xml:space="preserve"> Protoflight/Qual Sweep Rate:</w:t>
            </w:r>
            <w:r>
              <w:rPr>
                <w:rFonts w:ascii="Times New Roman" w:hAnsi="Times New Roman"/>
                <w:szCs w:val="24"/>
              </w:rPr>
              <w:t xml:space="preserve"> </w:t>
            </w:r>
            <w:r>
              <w:t xml:space="preserve">From 5 to 100 Hz at 4 octaves/minute </w:t>
            </w:r>
          </w:p>
          <w:p w14:paraId="7E72DD56" w14:textId="77777777" w:rsidR="00DB15E9" w:rsidRDefault="0078312E">
            <w:pPr>
              <w:pStyle w:val="ESSPTableText"/>
            </w:pPr>
            <w:r>
              <w:t>Flight Level Sweep Rate:</w:t>
            </w:r>
            <w:r>
              <w:rPr>
                <w:rFonts w:ascii="Times New Roman" w:hAnsi="Times New Roman"/>
                <w:szCs w:val="24"/>
              </w:rPr>
              <w:t xml:space="preserve"> </w:t>
            </w:r>
            <w:r>
              <w:t>From 5 to 100 Hz at</w:t>
            </w:r>
            <w:r>
              <w:rPr>
                <w:rFonts w:ascii="Times New Roman" w:hAnsi="Times New Roman"/>
                <w:szCs w:val="24"/>
              </w:rPr>
              <w:t xml:space="preserve"> </w:t>
            </w:r>
            <w:r>
              <w:t>2 octaves/minute except from 40 to 55 Hz at 6 Hz/min</w:t>
            </w:r>
          </w:p>
          <w:p w14:paraId="17A21D89" w14:textId="77777777" w:rsidR="00DB15E9" w:rsidRDefault="0078312E">
            <w:pPr>
              <w:pStyle w:val="ESSPTableText"/>
            </w:pPr>
            <w:r>
              <w:t xml:space="preserve">Input levels may be notched to limit component CG response to the design limit loads specified in Table 2-1 </w:t>
            </w:r>
          </w:p>
        </w:tc>
      </w:tr>
    </w:tbl>
    <w:p w14:paraId="494B4C24"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Table 2-5 provides a generic sine environment for the preliminary design of components and subsystems.</w:t>
      </w:r>
      <w:r>
        <w:rPr>
          <w:rFonts w:ascii="Times New Roman" w:hAnsi="Times New Roman"/>
          <w:szCs w:val="24"/>
        </w:rPr>
        <w:t xml:space="preserve"> </w:t>
      </w:r>
      <w:r>
        <w:t>The sine sweep vibration levels shown in Table 2-5 are defined at the hardware mounting interface.</w:t>
      </w:r>
      <w:r>
        <w:rPr>
          <w:rFonts w:ascii="Times New Roman" w:hAnsi="Times New Roman"/>
          <w:szCs w:val="24"/>
        </w:rPr>
        <w:t xml:space="preserve"> </w:t>
      </w:r>
      <w:r>
        <w:t xml:space="preserve">This guidance represents the need to be compatible with the coupled dynamics loads that will be experienced during ground processing and launch ascent. </w:t>
      </w:r>
    </w:p>
    <w:p w14:paraId="68B4D179" w14:textId="77777777" w:rsidR="00DB15E9" w:rsidRDefault="0078312E">
      <w:pPr>
        <w:pStyle w:val="Heading4"/>
      </w:pPr>
      <w:bookmarkStart w:id="162" w:name="_Toc471910807"/>
      <w:r>
        <w:t>Random Vibration</w:t>
      </w:r>
      <w:bookmarkEnd w:id="162"/>
    </w:p>
    <w:p w14:paraId="7BD50B56" w14:textId="77777777" w:rsidR="00DB15E9" w:rsidRDefault="0078312E">
      <w:pPr>
        <w:pStyle w:val="Requirement"/>
      </w:pPr>
      <w:r>
        <w:t xml:space="preserve">The Instrument should function according to its operational specifications after being subjected to a launch vehicle-induced transient environment represented by the random vibration environment defined in </w:t>
      </w:r>
      <w:r>
        <w:fldChar w:fldCharType="begin"/>
      </w:r>
      <w:r>
        <w:instrText xml:space="preserve"> REF _Ref453069430 \h </w:instrText>
      </w:r>
      <w:r>
        <w:fldChar w:fldCharType="separate"/>
      </w:r>
      <w:r>
        <w:t xml:space="preserve">Table </w:t>
      </w:r>
      <w:r>
        <w:rPr>
          <w:noProof/>
        </w:rPr>
        <w:t>2</w:t>
      </w:r>
      <w:r>
        <w:noBreakHyphen/>
      </w:r>
      <w:r>
        <w:rPr>
          <w:noProof/>
        </w:rPr>
        <w:t>6</w:t>
      </w:r>
      <w:r>
        <w:fldChar w:fldCharType="end"/>
      </w:r>
      <w:r>
        <w:t>.</w:t>
      </w:r>
    </w:p>
    <w:p w14:paraId="3720D02A" w14:textId="77777777" w:rsidR="00DB15E9" w:rsidRDefault="0078312E">
      <w:pPr>
        <w:pStyle w:val="ESSPBodyText"/>
      </w:pPr>
      <w:r>
        <w:t>All flight article test durations are to be 1 minute per axis.</w:t>
      </w:r>
      <w:r>
        <w:rPr>
          <w:rFonts w:ascii="Times New Roman" w:hAnsi="Times New Roman"/>
          <w:szCs w:val="24"/>
        </w:rPr>
        <w:t xml:space="preserve"> </w:t>
      </w:r>
      <w:r>
        <w:t>Non-flight article qualification test durations are to be 2 minutes per axis.</w:t>
      </w:r>
    </w:p>
    <w:p w14:paraId="00DEA0B8" w14:textId="77777777" w:rsidR="00DB15E9" w:rsidRDefault="0078312E">
      <w:pPr>
        <w:pStyle w:val="ESSPTableCaption"/>
      </w:pPr>
      <w:bookmarkStart w:id="163" w:name="_Ref453069430"/>
      <w:bookmarkStart w:id="164" w:name="_Toc471971554"/>
      <w:r>
        <w:lastRenderedPageBreak/>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6</w:t>
      </w:r>
      <w:r w:rsidR="00BA5284">
        <w:rPr>
          <w:noProof/>
        </w:rPr>
        <w:fldChar w:fldCharType="end"/>
      </w:r>
      <w:bookmarkEnd w:id="163"/>
      <w:r>
        <w:t>: Random Vibration Environment (derived from GEVS-SE, Table 2.4-4)</w:t>
      </w:r>
      <w:bookmarkEnd w:id="164"/>
    </w:p>
    <w:tbl>
      <w:tblPr>
        <w:tblStyle w:val="TableGrid8"/>
        <w:tblW w:w="0" w:type="auto"/>
        <w:tblLook w:val="04A0" w:firstRow="1" w:lastRow="0" w:firstColumn="1" w:lastColumn="0" w:noHBand="0" w:noVBand="1"/>
      </w:tblPr>
      <w:tblGrid>
        <w:gridCol w:w="2364"/>
        <w:gridCol w:w="2323"/>
        <w:gridCol w:w="2340"/>
        <w:gridCol w:w="2333"/>
      </w:tblGrid>
      <w:tr w:rsidR="00DB15E9" w14:paraId="0080FFA7" w14:textId="77777777" w:rsidTr="00DB15E9">
        <w:trPr>
          <w:cnfStyle w:val="100000000000" w:firstRow="1" w:lastRow="0" w:firstColumn="0" w:lastColumn="0" w:oddVBand="0" w:evenVBand="0" w:oddHBand="0" w:evenHBand="0" w:firstRowFirstColumn="0" w:firstRowLastColumn="0" w:lastRowFirstColumn="0" w:lastRowLastColumn="0"/>
          <w:trHeight w:val="432"/>
        </w:trPr>
        <w:tc>
          <w:tcPr>
            <w:tcW w:w="2394" w:type="dxa"/>
          </w:tcPr>
          <w:p w14:paraId="77C874ED" w14:textId="77777777" w:rsidR="00DB15E9" w:rsidRDefault="0078312E">
            <w:pPr>
              <w:pStyle w:val="ESSPTableText"/>
            </w:pPr>
            <w:r>
              <w:t>Zone/Assembly</w:t>
            </w:r>
          </w:p>
        </w:tc>
        <w:tc>
          <w:tcPr>
            <w:tcW w:w="2394" w:type="dxa"/>
          </w:tcPr>
          <w:p w14:paraId="603AB03E" w14:textId="77777777" w:rsidR="00DB15E9" w:rsidRDefault="0078312E">
            <w:pPr>
              <w:pStyle w:val="ESSPTableText"/>
            </w:pPr>
            <w:r>
              <w:t>Frequency (Hz)</w:t>
            </w:r>
          </w:p>
        </w:tc>
        <w:tc>
          <w:tcPr>
            <w:tcW w:w="2394" w:type="dxa"/>
          </w:tcPr>
          <w:p w14:paraId="4688218D" w14:textId="77777777" w:rsidR="00DB15E9" w:rsidRDefault="0078312E">
            <w:pPr>
              <w:pStyle w:val="ESSPTableText"/>
            </w:pPr>
            <w:r>
              <w:t>Protoflight / Qualification</w:t>
            </w:r>
          </w:p>
        </w:tc>
        <w:tc>
          <w:tcPr>
            <w:tcW w:w="2394" w:type="dxa"/>
          </w:tcPr>
          <w:p w14:paraId="6F7BEEB1" w14:textId="77777777" w:rsidR="00DB15E9" w:rsidRDefault="0078312E">
            <w:pPr>
              <w:pStyle w:val="ESSPTableText"/>
            </w:pPr>
            <w:r>
              <w:t>Acceptance</w:t>
            </w:r>
          </w:p>
        </w:tc>
      </w:tr>
      <w:tr w:rsidR="00DB15E9" w14:paraId="2CA8D8E7" w14:textId="77777777" w:rsidTr="00DB15E9">
        <w:trPr>
          <w:trHeight w:val="60"/>
        </w:trPr>
        <w:tc>
          <w:tcPr>
            <w:tcW w:w="2394" w:type="dxa"/>
            <w:vMerge w:val="restart"/>
          </w:tcPr>
          <w:p w14:paraId="6FDC6D2D" w14:textId="77777777" w:rsidR="00DB15E9" w:rsidRDefault="0078312E">
            <w:pPr>
              <w:pStyle w:val="ESSPTableText"/>
            </w:pPr>
            <w:r>
              <w:t>Instrument</w:t>
            </w:r>
          </w:p>
        </w:tc>
        <w:tc>
          <w:tcPr>
            <w:tcW w:w="2394" w:type="dxa"/>
          </w:tcPr>
          <w:p w14:paraId="76554A70" w14:textId="77777777" w:rsidR="00DB15E9" w:rsidRDefault="0078312E">
            <w:pPr>
              <w:pStyle w:val="ESSPTableText"/>
            </w:pPr>
            <w:r>
              <w:t>20</w:t>
            </w:r>
          </w:p>
        </w:tc>
        <w:tc>
          <w:tcPr>
            <w:tcW w:w="2394" w:type="dxa"/>
          </w:tcPr>
          <w:p w14:paraId="41159011" w14:textId="77777777" w:rsidR="00DB15E9" w:rsidRDefault="0078312E">
            <w:pPr>
              <w:pStyle w:val="ESSPTableText"/>
            </w:pPr>
            <w:r>
              <w:t>0.026 g</w:t>
            </w:r>
            <w:r>
              <w:rPr>
                <w:vertAlign w:val="superscript"/>
              </w:rPr>
              <w:t>2</w:t>
            </w:r>
            <w:r>
              <w:t>/Hz</w:t>
            </w:r>
          </w:p>
        </w:tc>
        <w:tc>
          <w:tcPr>
            <w:tcW w:w="2394" w:type="dxa"/>
          </w:tcPr>
          <w:p w14:paraId="7344ACDF" w14:textId="77777777" w:rsidR="00DB15E9" w:rsidRDefault="0078312E">
            <w:pPr>
              <w:pStyle w:val="ESSPTableText"/>
            </w:pPr>
            <w:r>
              <w:t>0.013 g</w:t>
            </w:r>
            <w:r>
              <w:rPr>
                <w:vertAlign w:val="superscript"/>
              </w:rPr>
              <w:t>2</w:t>
            </w:r>
            <w:r>
              <w:t>/Hz</w:t>
            </w:r>
          </w:p>
        </w:tc>
      </w:tr>
      <w:tr w:rsidR="00DB15E9" w14:paraId="599C7BCB" w14:textId="77777777" w:rsidTr="00DB15E9">
        <w:trPr>
          <w:trHeight w:val="60"/>
        </w:trPr>
        <w:tc>
          <w:tcPr>
            <w:tcW w:w="2394" w:type="dxa"/>
            <w:vMerge/>
          </w:tcPr>
          <w:p w14:paraId="6495F35A" w14:textId="77777777" w:rsidR="00DB15E9" w:rsidRDefault="00DB15E9">
            <w:pPr>
              <w:pStyle w:val="ESSPTableText"/>
            </w:pPr>
          </w:p>
        </w:tc>
        <w:tc>
          <w:tcPr>
            <w:tcW w:w="2394" w:type="dxa"/>
          </w:tcPr>
          <w:p w14:paraId="67A5B0F0" w14:textId="77777777" w:rsidR="00DB15E9" w:rsidRDefault="0078312E">
            <w:pPr>
              <w:pStyle w:val="ESSPTableText"/>
            </w:pPr>
            <w:r>
              <w:t>20 – 50</w:t>
            </w:r>
          </w:p>
        </w:tc>
        <w:tc>
          <w:tcPr>
            <w:tcW w:w="2394" w:type="dxa"/>
          </w:tcPr>
          <w:p w14:paraId="5A81E0F2" w14:textId="77777777" w:rsidR="00DB15E9" w:rsidRDefault="0078312E">
            <w:pPr>
              <w:pStyle w:val="ESSPTableText"/>
            </w:pPr>
            <w:r>
              <w:t>+6 dB/octave</w:t>
            </w:r>
          </w:p>
        </w:tc>
        <w:tc>
          <w:tcPr>
            <w:tcW w:w="2394" w:type="dxa"/>
          </w:tcPr>
          <w:p w14:paraId="439F841F" w14:textId="77777777" w:rsidR="00DB15E9" w:rsidRDefault="0078312E">
            <w:pPr>
              <w:pStyle w:val="ESSPTableText"/>
            </w:pPr>
            <w:r>
              <w:t>+6 dB/octave</w:t>
            </w:r>
          </w:p>
        </w:tc>
      </w:tr>
      <w:tr w:rsidR="00DB15E9" w14:paraId="5BBBED39" w14:textId="77777777" w:rsidTr="00DB15E9">
        <w:trPr>
          <w:trHeight w:val="60"/>
        </w:trPr>
        <w:tc>
          <w:tcPr>
            <w:tcW w:w="2394" w:type="dxa"/>
            <w:vMerge/>
          </w:tcPr>
          <w:p w14:paraId="6345EF1D" w14:textId="77777777" w:rsidR="00DB15E9" w:rsidRDefault="00DB15E9">
            <w:pPr>
              <w:pStyle w:val="ESSPTableText"/>
            </w:pPr>
          </w:p>
        </w:tc>
        <w:tc>
          <w:tcPr>
            <w:tcW w:w="2394" w:type="dxa"/>
          </w:tcPr>
          <w:p w14:paraId="0CF3199C" w14:textId="77777777" w:rsidR="00DB15E9" w:rsidRDefault="0078312E">
            <w:pPr>
              <w:pStyle w:val="ESSPTableText"/>
            </w:pPr>
            <w:r>
              <w:t>50 - 800</w:t>
            </w:r>
          </w:p>
        </w:tc>
        <w:tc>
          <w:tcPr>
            <w:tcW w:w="2394" w:type="dxa"/>
          </w:tcPr>
          <w:p w14:paraId="652A22A0" w14:textId="77777777" w:rsidR="00DB15E9" w:rsidRDefault="0078312E">
            <w:pPr>
              <w:pStyle w:val="ESSPTableText"/>
            </w:pPr>
            <w:r>
              <w:t>0.16 g</w:t>
            </w:r>
            <w:r>
              <w:rPr>
                <w:vertAlign w:val="superscript"/>
              </w:rPr>
              <w:t>2</w:t>
            </w:r>
            <w:r>
              <w:t>/Hz</w:t>
            </w:r>
          </w:p>
        </w:tc>
        <w:tc>
          <w:tcPr>
            <w:tcW w:w="2394" w:type="dxa"/>
          </w:tcPr>
          <w:p w14:paraId="1C7F53BB" w14:textId="77777777" w:rsidR="00DB15E9" w:rsidRDefault="0078312E">
            <w:pPr>
              <w:pStyle w:val="ESSPTableText"/>
            </w:pPr>
            <w:r>
              <w:t>0.08 g</w:t>
            </w:r>
            <w:r>
              <w:rPr>
                <w:vertAlign w:val="superscript"/>
              </w:rPr>
              <w:t>2</w:t>
            </w:r>
            <w:r>
              <w:t>/Hz</w:t>
            </w:r>
          </w:p>
        </w:tc>
      </w:tr>
      <w:tr w:rsidR="00DB15E9" w14:paraId="4FC4835D" w14:textId="77777777" w:rsidTr="00DB15E9">
        <w:trPr>
          <w:trHeight w:val="60"/>
        </w:trPr>
        <w:tc>
          <w:tcPr>
            <w:tcW w:w="2394" w:type="dxa"/>
            <w:vMerge/>
          </w:tcPr>
          <w:p w14:paraId="538877B3" w14:textId="77777777" w:rsidR="00DB15E9" w:rsidRDefault="00DB15E9">
            <w:pPr>
              <w:pStyle w:val="ESSPTableText"/>
            </w:pPr>
          </w:p>
        </w:tc>
        <w:tc>
          <w:tcPr>
            <w:tcW w:w="2394" w:type="dxa"/>
          </w:tcPr>
          <w:p w14:paraId="3564FF9F" w14:textId="77777777" w:rsidR="00DB15E9" w:rsidRDefault="0078312E">
            <w:pPr>
              <w:pStyle w:val="ESSPTableText"/>
            </w:pPr>
            <w:r>
              <w:t>800 - 2000</w:t>
            </w:r>
          </w:p>
        </w:tc>
        <w:tc>
          <w:tcPr>
            <w:tcW w:w="2394" w:type="dxa"/>
          </w:tcPr>
          <w:p w14:paraId="7EAF3852" w14:textId="77777777" w:rsidR="00DB15E9" w:rsidRDefault="0078312E">
            <w:pPr>
              <w:pStyle w:val="ESSPTableText"/>
            </w:pPr>
            <w:r>
              <w:t>-6 dB/octave</w:t>
            </w:r>
          </w:p>
        </w:tc>
        <w:tc>
          <w:tcPr>
            <w:tcW w:w="2394" w:type="dxa"/>
          </w:tcPr>
          <w:p w14:paraId="23109F85" w14:textId="77777777" w:rsidR="00DB15E9" w:rsidRDefault="0078312E">
            <w:pPr>
              <w:pStyle w:val="ESSPTableText"/>
            </w:pPr>
            <w:r>
              <w:t>-6 dB/octave</w:t>
            </w:r>
          </w:p>
        </w:tc>
      </w:tr>
      <w:tr w:rsidR="00DB15E9" w14:paraId="6026FAC4" w14:textId="77777777" w:rsidTr="00DB15E9">
        <w:trPr>
          <w:trHeight w:val="60"/>
        </w:trPr>
        <w:tc>
          <w:tcPr>
            <w:tcW w:w="2394" w:type="dxa"/>
            <w:vMerge/>
          </w:tcPr>
          <w:p w14:paraId="40F05CA7" w14:textId="77777777" w:rsidR="00DB15E9" w:rsidRDefault="00DB15E9">
            <w:pPr>
              <w:pStyle w:val="ESSPTableText"/>
            </w:pPr>
          </w:p>
        </w:tc>
        <w:tc>
          <w:tcPr>
            <w:tcW w:w="2394" w:type="dxa"/>
          </w:tcPr>
          <w:p w14:paraId="601F52A6" w14:textId="77777777" w:rsidR="00DB15E9" w:rsidRDefault="0078312E">
            <w:pPr>
              <w:pStyle w:val="ESSPTableText"/>
            </w:pPr>
            <w:r>
              <w:t>2000</w:t>
            </w:r>
          </w:p>
        </w:tc>
        <w:tc>
          <w:tcPr>
            <w:tcW w:w="2394" w:type="dxa"/>
          </w:tcPr>
          <w:p w14:paraId="2CB29E4C" w14:textId="77777777" w:rsidR="00DB15E9" w:rsidRDefault="0078312E">
            <w:pPr>
              <w:pStyle w:val="ESSPTableText"/>
            </w:pPr>
            <w:r>
              <w:t>0.026 g</w:t>
            </w:r>
            <w:r>
              <w:rPr>
                <w:vertAlign w:val="superscript"/>
              </w:rPr>
              <w:t>2</w:t>
            </w:r>
            <w:r>
              <w:t>/Hz</w:t>
            </w:r>
          </w:p>
        </w:tc>
        <w:tc>
          <w:tcPr>
            <w:tcW w:w="2394" w:type="dxa"/>
          </w:tcPr>
          <w:p w14:paraId="5B6F83FA" w14:textId="77777777" w:rsidR="00DB15E9" w:rsidRDefault="0078312E">
            <w:pPr>
              <w:pStyle w:val="ESSPTableText"/>
            </w:pPr>
            <w:r>
              <w:t>0.013 g</w:t>
            </w:r>
            <w:r>
              <w:rPr>
                <w:vertAlign w:val="superscript"/>
              </w:rPr>
              <w:t>2</w:t>
            </w:r>
            <w:r>
              <w:t>/Hz</w:t>
            </w:r>
          </w:p>
        </w:tc>
      </w:tr>
      <w:tr w:rsidR="00DB15E9" w14:paraId="6F3B2D9A" w14:textId="77777777" w:rsidTr="00DB15E9">
        <w:trPr>
          <w:trHeight w:val="60"/>
        </w:trPr>
        <w:tc>
          <w:tcPr>
            <w:tcW w:w="2394" w:type="dxa"/>
            <w:vMerge/>
          </w:tcPr>
          <w:p w14:paraId="526F0F16" w14:textId="77777777" w:rsidR="00DB15E9" w:rsidRDefault="00DB15E9">
            <w:pPr>
              <w:pStyle w:val="ESSPTableText"/>
            </w:pPr>
          </w:p>
        </w:tc>
        <w:tc>
          <w:tcPr>
            <w:tcW w:w="2394" w:type="dxa"/>
          </w:tcPr>
          <w:p w14:paraId="09A2AFB0" w14:textId="77777777" w:rsidR="00DB15E9" w:rsidRDefault="0078312E">
            <w:pPr>
              <w:pStyle w:val="ESSPTableText"/>
            </w:pPr>
            <w:r>
              <w:t>Overall</w:t>
            </w:r>
          </w:p>
        </w:tc>
        <w:tc>
          <w:tcPr>
            <w:tcW w:w="2394" w:type="dxa"/>
          </w:tcPr>
          <w:p w14:paraId="413AAD9B" w14:textId="77777777" w:rsidR="00DB15E9" w:rsidRDefault="0078312E">
            <w:pPr>
              <w:pStyle w:val="ESSPTableText"/>
            </w:pPr>
            <w:r>
              <w:t>14.1 g</w:t>
            </w:r>
            <w:r>
              <w:rPr>
                <w:vertAlign w:val="subscript"/>
              </w:rPr>
              <w:t>rms</w:t>
            </w:r>
          </w:p>
        </w:tc>
        <w:tc>
          <w:tcPr>
            <w:tcW w:w="2394" w:type="dxa"/>
          </w:tcPr>
          <w:p w14:paraId="0322F5C5" w14:textId="77777777" w:rsidR="00DB15E9" w:rsidRDefault="0078312E">
            <w:pPr>
              <w:pStyle w:val="ESSPTableText"/>
            </w:pPr>
            <w:r>
              <w:t>10.0 g</w:t>
            </w:r>
            <w:r>
              <w:rPr>
                <w:vertAlign w:val="subscript"/>
              </w:rPr>
              <w:t>rms</w:t>
            </w:r>
          </w:p>
        </w:tc>
      </w:tr>
    </w:tbl>
    <w:p w14:paraId="4C515F23" w14:textId="77777777" w:rsidR="00DB15E9" w:rsidRDefault="0078312E">
      <w:pPr>
        <w:pStyle w:val="ESSPBodyText"/>
      </w:pPr>
      <w:r>
        <w:fldChar w:fldCharType="begin"/>
      </w:r>
      <w:r>
        <w:instrText xml:space="preserve"> REF _Ref453069430 \h </w:instrText>
      </w:r>
      <w:r>
        <w:fldChar w:fldCharType="separate"/>
      </w:r>
      <w:r>
        <w:t xml:space="preserve">Table </w:t>
      </w:r>
      <w:r>
        <w:rPr>
          <w:noProof/>
        </w:rPr>
        <w:t>2</w:t>
      </w:r>
      <w:r>
        <w:noBreakHyphen/>
      </w:r>
      <w:r>
        <w:rPr>
          <w:noProof/>
        </w:rPr>
        <w:t>6</w:t>
      </w:r>
      <w:r>
        <w:fldChar w:fldCharType="end"/>
      </w:r>
      <w:r>
        <w:t xml:space="preserve"> represents the random vibration environment for instruments with mass </w:t>
      </w:r>
      <w:r>
        <w:rPr>
          <w:rFonts w:cs="Arial"/>
        </w:rPr>
        <w:t xml:space="preserve">less than or equal to </w:t>
      </w:r>
      <w:r>
        <w:t>25 kg and having resonant frequencies greater than 80 Hz.</w:t>
      </w:r>
      <w:r>
        <w:rPr>
          <w:rFonts w:ascii="Times New Roman" w:hAnsi="Times New Roman"/>
          <w:szCs w:val="24"/>
        </w:rPr>
        <w:t xml:space="preserve"> </w:t>
      </w:r>
      <w:r>
        <w:t>Instruments with mass greater than 25 kg may apply the following random vibration environment reductions:</w:t>
      </w:r>
    </w:p>
    <w:p w14:paraId="68BBABBC" w14:textId="77777777" w:rsidR="00DB15E9" w:rsidRDefault="0078312E">
      <w:pPr>
        <w:pStyle w:val="ESSPNumberedList"/>
        <w:numPr>
          <w:ilvl w:val="0"/>
          <w:numId w:val="4"/>
        </w:numPr>
      </w:pPr>
      <w:r>
        <w:t>The acceleration spectral density (ASD) level may be reduced for components weighing more than 25 kg according to:</w:t>
      </w:r>
    </w:p>
    <w:p w14:paraId="02B84C54" w14:textId="77777777" w:rsidR="00DB15E9" w:rsidRDefault="0078312E">
      <w:pPr>
        <w:pStyle w:val="ESSPPullQuote"/>
      </w:pPr>
      <w:r>
        <w:t>ASD</w:t>
      </w:r>
      <w:r>
        <w:rPr>
          <w:vertAlign w:val="subscript"/>
        </w:rPr>
        <w:t>new</w:t>
      </w:r>
      <w:r>
        <w:t xml:space="preserve"> = ASD</w:t>
      </w:r>
      <w:r>
        <w:rPr>
          <w:vertAlign w:val="subscript"/>
        </w:rPr>
        <w:t>original</w:t>
      </w:r>
      <w:r>
        <w:t xml:space="preserve">*(25/M) </w:t>
      </w:r>
      <w:r>
        <w:br/>
        <w:t>where M = instrument mass in kg</w:t>
      </w:r>
    </w:p>
    <w:p w14:paraId="7354DDBF" w14:textId="77777777" w:rsidR="00DB15E9" w:rsidRDefault="0078312E">
      <w:pPr>
        <w:pStyle w:val="ESSPNumberedList"/>
      </w:pPr>
      <w:r>
        <w:t>The slope is to be maintained at ±6 dB/octave for instruments with mass less than or equal to 65 kg.</w:t>
      </w:r>
      <w:r>
        <w:rPr>
          <w:rFonts w:ascii="Times New Roman" w:hAnsi="Times New Roman"/>
          <w:szCs w:val="24"/>
        </w:rPr>
        <w:t xml:space="preserve"> </w:t>
      </w:r>
      <w:r>
        <w:t>For instruments greater than 65 kg, the slope should be adjusted to maintain an ASD of 0.01 g</w:t>
      </w:r>
      <w:r>
        <w:rPr>
          <w:vertAlign w:val="superscript"/>
        </w:rPr>
        <w:t>2</w:t>
      </w:r>
      <w:r>
        <w:t>/Hz at 20 Hz and at 2000 Hz for qualification testing and an ASD of 0.005 g</w:t>
      </w:r>
      <w:r>
        <w:rPr>
          <w:vertAlign w:val="superscript"/>
        </w:rPr>
        <w:t>2</w:t>
      </w:r>
      <w:r>
        <w:t>/Hz at 20 Hz and at 2000 Hz for acceptance testing.</w:t>
      </w:r>
    </w:p>
    <w:p w14:paraId="19CBE12D" w14:textId="77777777" w:rsidR="00DB15E9" w:rsidRDefault="0078312E">
      <w:pPr>
        <w:pStyle w:val="ESSPNumberedList"/>
      </w:pPr>
      <w:r>
        <w:t>Hardware with resonant frequencies below 80 Hz may be designed using only the MAC design loads specified in 2.11.4.4 as the MAC loads include the effect of mechanically transmitted random vibration up to 80 Hz</w:t>
      </w:r>
    </w:p>
    <w:p w14:paraId="3D8A3E69" w14:textId="77777777" w:rsidR="00DB15E9" w:rsidRDefault="0078312E">
      <w:pPr>
        <w:pStyle w:val="ESSPNumberedList"/>
      </w:pPr>
      <w:r>
        <w:t>The random vibration levels given in Table 2-3 should be updated based on test data or acoustic analysis of the payload once the launch vehicle specific acoustic environment has been defined</w:t>
      </w:r>
    </w:p>
    <w:p w14:paraId="7B890B6C" w14:textId="77777777" w:rsidR="00DB15E9" w:rsidRDefault="0078312E">
      <w:pPr>
        <w:pStyle w:val="ESSPNumberedLis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This guidance represents the need to be compatible with the random vibration that will be experienced during launch ascent.</w:t>
      </w:r>
      <w:r>
        <w:rPr>
          <w:rFonts w:ascii="Times New Roman" w:hAnsi="Times New Roman"/>
          <w:szCs w:val="24"/>
        </w:rPr>
        <w:t xml:space="preserve"> </w:t>
      </w:r>
      <w:r>
        <w:t>The random vibration design guidelines are derived from: (a) launch vehicle-induced acoustic excitations during liftoff, transonic and max-q events; and (b) mechanically transmitted vibration from the engines during upper stage burns.</w:t>
      </w:r>
      <w:r>
        <w:rPr>
          <w:rFonts w:ascii="Times New Roman" w:hAnsi="Times New Roman"/>
          <w:szCs w:val="24"/>
        </w:rPr>
        <w:t xml:space="preserve"> </w:t>
      </w:r>
      <w:r>
        <w:t xml:space="preserve">Based upon CII analysis of the following sources of performance data: the </w:t>
      </w:r>
      <w:r>
        <w:rPr>
          <w:i/>
        </w:rPr>
        <w:t>The CII Guidelines Document, Revision A, GEVS-SE</w:t>
      </w:r>
      <w:r>
        <w:t xml:space="preserve"> and the </w:t>
      </w:r>
      <w:r>
        <w:rPr>
          <w:i/>
        </w:rPr>
        <w:t>USAF HoPS studies data</w:t>
      </w:r>
      <w:r>
        <w:t>,</w:t>
      </w:r>
      <w:r>
        <w:rPr>
          <w:rFonts w:ascii="Times New Roman" w:hAnsi="Times New Roman"/>
          <w:szCs w:val="24"/>
        </w:rPr>
        <w:t xml:space="preserve"> </w:t>
      </w:r>
      <w:r>
        <w:t>an overall protoflight/qual level of 23.1 g (rms) would maximize hosting opportunity.</w:t>
      </w:r>
      <w:r>
        <w:rPr>
          <w:rFonts w:ascii="Times New Roman" w:hAnsi="Times New Roman"/>
          <w:szCs w:val="24"/>
        </w:rPr>
        <w:t xml:space="preserve"> </w:t>
      </w:r>
      <w:r>
        <w:t>Please note that the random vibration test levels to be used for hardware containing delicate optics, sensors/detectors, and etc., should be notched in frequency bands known to be destructive to such hardware.</w:t>
      </w:r>
    </w:p>
    <w:p w14:paraId="538820CD" w14:textId="77777777" w:rsidR="00DB15E9" w:rsidRDefault="0078312E">
      <w:pPr>
        <w:pStyle w:val="Heading4"/>
      </w:pPr>
      <w:bookmarkStart w:id="165" w:name="_Toc471910808"/>
      <w:r>
        <w:lastRenderedPageBreak/>
        <w:t>Acoustic Noise</w:t>
      </w:r>
      <w:bookmarkEnd w:id="165"/>
    </w:p>
    <w:p w14:paraId="285F27F9" w14:textId="77777777" w:rsidR="00DB15E9" w:rsidRDefault="0078312E">
      <w:pPr>
        <w:pStyle w:val="Requirement"/>
      </w:pPr>
      <w:r>
        <w:t>The Instrument should function according to its operational specifications after being subjected to a launch vehicle-induced transient environment. A generic acoustic environment is shown in Table 2-7.</w:t>
      </w:r>
    </w:p>
    <w:p w14:paraId="658D4A94" w14:textId="77777777" w:rsidR="00DB15E9" w:rsidRDefault="0078312E">
      <w:pPr>
        <w:pStyle w:val="ESSPTableCaption"/>
      </w:pPr>
      <w:bookmarkStart w:id="166" w:name="_Toc471971555"/>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7</w:t>
      </w:r>
      <w:r w:rsidR="00BA5284">
        <w:rPr>
          <w:noProof/>
        </w:rPr>
        <w:fldChar w:fldCharType="end"/>
      </w:r>
      <w:r>
        <w:t>: Acoustic Noise Environment</w:t>
      </w:r>
      <w:bookmarkEnd w:id="166"/>
    </w:p>
    <w:tbl>
      <w:tblPr>
        <w:tblStyle w:val="TableGrid8"/>
        <w:tblW w:w="8928" w:type="dxa"/>
        <w:tblLayout w:type="fixed"/>
        <w:tblLook w:val="04A0" w:firstRow="1" w:lastRow="0" w:firstColumn="1" w:lastColumn="0" w:noHBand="0" w:noVBand="1"/>
      </w:tblPr>
      <w:tblGrid>
        <w:gridCol w:w="2718"/>
        <w:gridCol w:w="2970"/>
        <w:gridCol w:w="3240"/>
      </w:tblGrid>
      <w:tr w:rsidR="00DB15E9" w14:paraId="21B5F7CC" w14:textId="77777777" w:rsidTr="00DB15E9">
        <w:trPr>
          <w:cnfStyle w:val="100000000000" w:firstRow="1" w:lastRow="0" w:firstColumn="0" w:lastColumn="0" w:oddVBand="0" w:evenVBand="0" w:oddHBand="0" w:evenHBand="0" w:firstRowFirstColumn="0" w:firstRowLastColumn="0" w:lastRowFirstColumn="0" w:lastRowLastColumn="0"/>
        </w:trPr>
        <w:tc>
          <w:tcPr>
            <w:tcW w:w="2718" w:type="dxa"/>
          </w:tcPr>
          <w:p w14:paraId="787308C6" w14:textId="77777777" w:rsidR="00DB15E9" w:rsidRDefault="0078312E">
            <w:pPr>
              <w:pStyle w:val="ESSPTableText"/>
            </w:pPr>
            <w:r>
              <w:t>1/3 Octave Band Center Frequency (Hz)"</w:t>
            </w:r>
          </w:p>
        </w:tc>
        <w:tc>
          <w:tcPr>
            <w:tcW w:w="2970" w:type="dxa"/>
          </w:tcPr>
          <w:p w14:paraId="70247B2E" w14:textId="77777777" w:rsidR="00DB15E9" w:rsidRDefault="0078312E">
            <w:pPr>
              <w:pStyle w:val="ESSPTableText"/>
            </w:pPr>
            <w:r>
              <w:t>Design/Qual/Protoflight</w:t>
            </w:r>
            <w:r>
              <w:br/>
              <w:t>(dB w/ 20 µPa reference)"</w:t>
            </w:r>
          </w:p>
        </w:tc>
        <w:tc>
          <w:tcPr>
            <w:tcW w:w="3240" w:type="dxa"/>
          </w:tcPr>
          <w:p w14:paraId="4296793D" w14:textId="77777777" w:rsidR="00DB15E9" w:rsidRDefault="0078312E">
            <w:pPr>
              <w:pStyle w:val="ESSPTableText"/>
            </w:pPr>
            <w:r>
              <w:t>Acceptance</w:t>
            </w:r>
            <w:r>
              <w:br/>
              <w:t>(dB w/ 20 µPa reference)"</w:t>
            </w:r>
          </w:p>
        </w:tc>
      </w:tr>
      <w:tr w:rsidR="00DB15E9" w14:paraId="62DA8950" w14:textId="77777777" w:rsidTr="00DB15E9">
        <w:tc>
          <w:tcPr>
            <w:tcW w:w="2718" w:type="dxa"/>
          </w:tcPr>
          <w:p w14:paraId="5CF01065" w14:textId="77777777" w:rsidR="00DB15E9" w:rsidRDefault="0078312E">
            <w:pPr>
              <w:pStyle w:val="ESSPTableText"/>
            </w:pPr>
            <w:r>
              <w:t>20</w:t>
            </w:r>
          </w:p>
        </w:tc>
        <w:tc>
          <w:tcPr>
            <w:tcW w:w="2970" w:type="dxa"/>
            <w:vAlign w:val="center"/>
          </w:tcPr>
          <w:p w14:paraId="00B1D0E1" w14:textId="77777777" w:rsidR="00DB15E9" w:rsidRDefault="0078312E">
            <w:pPr>
              <w:pStyle w:val="ESSPTableText"/>
              <w:rPr>
                <w:b/>
              </w:rPr>
            </w:pPr>
            <w:r>
              <w:t xml:space="preserve"> 129.5</w:t>
            </w:r>
          </w:p>
        </w:tc>
        <w:tc>
          <w:tcPr>
            <w:tcW w:w="3240" w:type="dxa"/>
            <w:vAlign w:val="center"/>
          </w:tcPr>
          <w:p w14:paraId="40A70794" w14:textId="77777777" w:rsidR="00DB15E9" w:rsidRDefault="0078312E">
            <w:pPr>
              <w:pStyle w:val="ESSPTableText"/>
              <w:rPr>
                <w:b/>
              </w:rPr>
            </w:pPr>
            <w:r>
              <w:t xml:space="preserve"> 126.5</w:t>
            </w:r>
          </w:p>
        </w:tc>
      </w:tr>
      <w:tr w:rsidR="00DB15E9" w14:paraId="315BB940" w14:textId="77777777" w:rsidTr="00DB15E9">
        <w:tc>
          <w:tcPr>
            <w:tcW w:w="2718" w:type="dxa"/>
          </w:tcPr>
          <w:p w14:paraId="74D2B17A" w14:textId="77777777" w:rsidR="00DB15E9" w:rsidRDefault="0078312E">
            <w:pPr>
              <w:pStyle w:val="ESSPTableText"/>
            </w:pPr>
            <w:r>
              <w:t>25</w:t>
            </w:r>
          </w:p>
        </w:tc>
        <w:tc>
          <w:tcPr>
            <w:tcW w:w="2970" w:type="dxa"/>
            <w:vAlign w:val="center"/>
          </w:tcPr>
          <w:p w14:paraId="51EF9958" w14:textId="77777777" w:rsidR="00DB15E9" w:rsidRDefault="0078312E">
            <w:pPr>
              <w:pStyle w:val="ESSPTableText"/>
              <w:rPr>
                <w:b/>
              </w:rPr>
            </w:pPr>
            <w:r>
              <w:t xml:space="preserve"> 130.7</w:t>
            </w:r>
          </w:p>
        </w:tc>
        <w:tc>
          <w:tcPr>
            <w:tcW w:w="3240" w:type="dxa"/>
            <w:vAlign w:val="center"/>
          </w:tcPr>
          <w:p w14:paraId="6FDAA0E7" w14:textId="77777777" w:rsidR="00DB15E9" w:rsidRDefault="0078312E">
            <w:pPr>
              <w:pStyle w:val="ESSPTableText"/>
              <w:rPr>
                <w:b/>
              </w:rPr>
            </w:pPr>
            <w:r>
              <w:t xml:space="preserve"> 127.7</w:t>
            </w:r>
          </w:p>
        </w:tc>
      </w:tr>
      <w:tr w:rsidR="00DB15E9" w14:paraId="68DAF06D" w14:textId="77777777" w:rsidTr="00DB15E9">
        <w:tc>
          <w:tcPr>
            <w:tcW w:w="2718" w:type="dxa"/>
          </w:tcPr>
          <w:p w14:paraId="26DEA57E" w14:textId="77777777" w:rsidR="00DB15E9" w:rsidRDefault="0078312E">
            <w:pPr>
              <w:pStyle w:val="ESSPTableText"/>
            </w:pPr>
            <w:r>
              <w:t>31.5</w:t>
            </w:r>
          </w:p>
        </w:tc>
        <w:tc>
          <w:tcPr>
            <w:tcW w:w="2970" w:type="dxa"/>
            <w:vAlign w:val="center"/>
          </w:tcPr>
          <w:p w14:paraId="467F9310" w14:textId="77777777" w:rsidR="00DB15E9" w:rsidRDefault="0078312E">
            <w:pPr>
              <w:pStyle w:val="ESSPTableText"/>
              <w:rPr>
                <w:b/>
              </w:rPr>
            </w:pPr>
            <w:r>
              <w:t xml:space="preserve"> 130.0</w:t>
            </w:r>
          </w:p>
        </w:tc>
        <w:tc>
          <w:tcPr>
            <w:tcW w:w="3240" w:type="dxa"/>
            <w:vAlign w:val="center"/>
          </w:tcPr>
          <w:p w14:paraId="2739A0CF" w14:textId="77777777" w:rsidR="00DB15E9" w:rsidRDefault="0078312E">
            <w:pPr>
              <w:pStyle w:val="ESSPTableText"/>
              <w:rPr>
                <w:b/>
              </w:rPr>
            </w:pPr>
            <w:r>
              <w:t xml:space="preserve"> 127.0</w:t>
            </w:r>
          </w:p>
        </w:tc>
      </w:tr>
      <w:tr w:rsidR="00DB15E9" w14:paraId="21777EE9" w14:textId="77777777" w:rsidTr="00DB15E9">
        <w:tc>
          <w:tcPr>
            <w:tcW w:w="2718" w:type="dxa"/>
          </w:tcPr>
          <w:p w14:paraId="32466D86" w14:textId="77777777" w:rsidR="00DB15E9" w:rsidRDefault="0078312E">
            <w:pPr>
              <w:pStyle w:val="ESSPTableText"/>
            </w:pPr>
            <w:r>
              <w:t>40</w:t>
            </w:r>
          </w:p>
        </w:tc>
        <w:tc>
          <w:tcPr>
            <w:tcW w:w="2970" w:type="dxa"/>
            <w:vAlign w:val="center"/>
          </w:tcPr>
          <w:p w14:paraId="52E4850C" w14:textId="77777777" w:rsidR="00DB15E9" w:rsidRDefault="0078312E">
            <w:pPr>
              <w:pStyle w:val="ESSPTableText"/>
              <w:rPr>
                <w:b/>
              </w:rPr>
            </w:pPr>
            <w:r>
              <w:t xml:space="preserve"> 131.5</w:t>
            </w:r>
          </w:p>
        </w:tc>
        <w:tc>
          <w:tcPr>
            <w:tcW w:w="3240" w:type="dxa"/>
            <w:vAlign w:val="center"/>
          </w:tcPr>
          <w:p w14:paraId="23D0EF42" w14:textId="77777777" w:rsidR="00DB15E9" w:rsidRDefault="0078312E">
            <w:pPr>
              <w:pStyle w:val="ESSPTableText"/>
              <w:rPr>
                <w:b/>
              </w:rPr>
            </w:pPr>
            <w:r>
              <w:t xml:space="preserve"> 128.5</w:t>
            </w:r>
          </w:p>
        </w:tc>
      </w:tr>
      <w:tr w:rsidR="00DB15E9" w14:paraId="78AC9D80" w14:textId="77777777" w:rsidTr="00DB15E9">
        <w:tc>
          <w:tcPr>
            <w:tcW w:w="2718" w:type="dxa"/>
          </w:tcPr>
          <w:p w14:paraId="004C7283" w14:textId="77777777" w:rsidR="00DB15E9" w:rsidRDefault="0078312E">
            <w:pPr>
              <w:pStyle w:val="ESSPTableText"/>
            </w:pPr>
            <w:r>
              <w:t>50</w:t>
            </w:r>
          </w:p>
        </w:tc>
        <w:tc>
          <w:tcPr>
            <w:tcW w:w="2970" w:type="dxa"/>
            <w:vAlign w:val="center"/>
          </w:tcPr>
          <w:p w14:paraId="0FD1B21B" w14:textId="77777777" w:rsidR="00DB15E9" w:rsidRDefault="0078312E">
            <w:pPr>
              <w:pStyle w:val="ESSPTableText"/>
              <w:rPr>
                <w:b/>
              </w:rPr>
            </w:pPr>
            <w:r>
              <w:t xml:space="preserve"> 133.0</w:t>
            </w:r>
          </w:p>
        </w:tc>
        <w:tc>
          <w:tcPr>
            <w:tcW w:w="3240" w:type="dxa"/>
            <w:vAlign w:val="center"/>
          </w:tcPr>
          <w:p w14:paraId="7AAA7738" w14:textId="77777777" w:rsidR="00DB15E9" w:rsidRDefault="0078312E">
            <w:pPr>
              <w:pStyle w:val="ESSPTableText"/>
              <w:rPr>
                <w:b/>
              </w:rPr>
            </w:pPr>
            <w:r>
              <w:t xml:space="preserve"> 130.0</w:t>
            </w:r>
          </w:p>
        </w:tc>
      </w:tr>
      <w:tr w:rsidR="00DB15E9" w14:paraId="0EBAC556" w14:textId="77777777" w:rsidTr="00DB15E9">
        <w:tc>
          <w:tcPr>
            <w:tcW w:w="2718" w:type="dxa"/>
          </w:tcPr>
          <w:p w14:paraId="11233B27" w14:textId="77777777" w:rsidR="00DB15E9" w:rsidRDefault="0078312E">
            <w:pPr>
              <w:pStyle w:val="ESSPTableText"/>
            </w:pPr>
            <w:r>
              <w:t>63</w:t>
            </w:r>
          </w:p>
        </w:tc>
        <w:tc>
          <w:tcPr>
            <w:tcW w:w="2970" w:type="dxa"/>
            <w:vAlign w:val="center"/>
          </w:tcPr>
          <w:p w14:paraId="0FA10031" w14:textId="77777777" w:rsidR="00DB15E9" w:rsidRDefault="0078312E">
            <w:pPr>
              <w:pStyle w:val="ESSPTableText"/>
              <w:rPr>
                <w:b/>
              </w:rPr>
            </w:pPr>
            <w:r>
              <w:t xml:space="preserve"> 134.5</w:t>
            </w:r>
          </w:p>
        </w:tc>
        <w:tc>
          <w:tcPr>
            <w:tcW w:w="3240" w:type="dxa"/>
            <w:vAlign w:val="center"/>
          </w:tcPr>
          <w:p w14:paraId="2E91140B" w14:textId="77777777" w:rsidR="00DB15E9" w:rsidRDefault="0078312E">
            <w:pPr>
              <w:pStyle w:val="ESSPTableText"/>
              <w:rPr>
                <w:b/>
              </w:rPr>
            </w:pPr>
            <w:r>
              <w:t xml:space="preserve"> 131.5</w:t>
            </w:r>
          </w:p>
        </w:tc>
      </w:tr>
      <w:tr w:rsidR="00DB15E9" w14:paraId="45EA1DCA" w14:textId="77777777" w:rsidTr="00DB15E9">
        <w:tc>
          <w:tcPr>
            <w:tcW w:w="2718" w:type="dxa"/>
          </w:tcPr>
          <w:p w14:paraId="2E3137D4" w14:textId="77777777" w:rsidR="00DB15E9" w:rsidRDefault="0078312E">
            <w:pPr>
              <w:pStyle w:val="ESSPTableText"/>
            </w:pPr>
            <w:r>
              <w:t>80</w:t>
            </w:r>
          </w:p>
        </w:tc>
        <w:tc>
          <w:tcPr>
            <w:tcW w:w="2970" w:type="dxa"/>
            <w:vAlign w:val="center"/>
          </w:tcPr>
          <w:p w14:paraId="313793B6" w14:textId="77777777" w:rsidR="00DB15E9" w:rsidRDefault="0078312E">
            <w:pPr>
              <w:pStyle w:val="ESSPTableText"/>
              <w:rPr>
                <w:b/>
              </w:rPr>
            </w:pPr>
            <w:r>
              <w:t xml:space="preserve"> 135.5</w:t>
            </w:r>
          </w:p>
        </w:tc>
        <w:tc>
          <w:tcPr>
            <w:tcW w:w="3240" w:type="dxa"/>
            <w:vAlign w:val="center"/>
          </w:tcPr>
          <w:p w14:paraId="3C2A82D6" w14:textId="77777777" w:rsidR="00DB15E9" w:rsidRDefault="0078312E">
            <w:pPr>
              <w:pStyle w:val="ESSPTableText"/>
              <w:rPr>
                <w:b/>
              </w:rPr>
            </w:pPr>
            <w:r>
              <w:t xml:space="preserve"> 132.5</w:t>
            </w:r>
          </w:p>
        </w:tc>
      </w:tr>
      <w:tr w:rsidR="00DB15E9" w14:paraId="2D6471F8" w14:textId="77777777" w:rsidTr="00DB15E9">
        <w:tc>
          <w:tcPr>
            <w:tcW w:w="2718" w:type="dxa"/>
          </w:tcPr>
          <w:p w14:paraId="4185A440" w14:textId="77777777" w:rsidR="00DB15E9" w:rsidRDefault="0078312E">
            <w:pPr>
              <w:pStyle w:val="ESSPTableText"/>
            </w:pPr>
            <w:r>
              <w:t>100</w:t>
            </w:r>
          </w:p>
        </w:tc>
        <w:tc>
          <w:tcPr>
            <w:tcW w:w="2970" w:type="dxa"/>
            <w:vAlign w:val="center"/>
          </w:tcPr>
          <w:p w14:paraId="3EFB0B3C" w14:textId="77777777" w:rsidR="00DB15E9" w:rsidRDefault="0078312E">
            <w:pPr>
              <w:pStyle w:val="ESSPTableText"/>
              <w:rPr>
                <w:b/>
              </w:rPr>
            </w:pPr>
            <w:r>
              <w:t xml:space="preserve"> 136.0</w:t>
            </w:r>
          </w:p>
        </w:tc>
        <w:tc>
          <w:tcPr>
            <w:tcW w:w="3240" w:type="dxa"/>
            <w:vAlign w:val="center"/>
          </w:tcPr>
          <w:p w14:paraId="3FEACA6C" w14:textId="77777777" w:rsidR="00DB15E9" w:rsidRDefault="0078312E">
            <w:pPr>
              <w:pStyle w:val="ESSPTableText"/>
              <w:rPr>
                <w:b/>
              </w:rPr>
            </w:pPr>
            <w:r>
              <w:t xml:space="preserve"> 133.0</w:t>
            </w:r>
          </w:p>
        </w:tc>
      </w:tr>
      <w:tr w:rsidR="00DB15E9" w14:paraId="2C11CFA8" w14:textId="77777777" w:rsidTr="00DB15E9">
        <w:tc>
          <w:tcPr>
            <w:tcW w:w="2718" w:type="dxa"/>
          </w:tcPr>
          <w:p w14:paraId="0174FDAE" w14:textId="77777777" w:rsidR="00DB15E9" w:rsidRDefault="0078312E">
            <w:pPr>
              <w:pStyle w:val="ESSPTableText"/>
            </w:pPr>
            <w:r>
              <w:t>125</w:t>
            </w:r>
          </w:p>
        </w:tc>
        <w:tc>
          <w:tcPr>
            <w:tcW w:w="2970" w:type="dxa"/>
            <w:vAlign w:val="center"/>
          </w:tcPr>
          <w:p w14:paraId="0034B3BD" w14:textId="77777777" w:rsidR="00DB15E9" w:rsidRDefault="0078312E">
            <w:pPr>
              <w:pStyle w:val="ESSPTableText"/>
              <w:rPr>
                <w:b/>
              </w:rPr>
            </w:pPr>
            <w:r>
              <w:t xml:space="preserve"> 136.8</w:t>
            </w:r>
          </w:p>
        </w:tc>
        <w:tc>
          <w:tcPr>
            <w:tcW w:w="3240" w:type="dxa"/>
            <w:vAlign w:val="center"/>
          </w:tcPr>
          <w:p w14:paraId="00DFFDA2" w14:textId="77777777" w:rsidR="00DB15E9" w:rsidRDefault="0078312E">
            <w:pPr>
              <w:pStyle w:val="ESSPTableText"/>
              <w:rPr>
                <w:b/>
              </w:rPr>
            </w:pPr>
            <w:r>
              <w:t xml:space="preserve"> 133.8</w:t>
            </w:r>
          </w:p>
        </w:tc>
      </w:tr>
      <w:tr w:rsidR="00DB15E9" w14:paraId="01FDC10B" w14:textId="77777777" w:rsidTr="00DB15E9">
        <w:tc>
          <w:tcPr>
            <w:tcW w:w="2718" w:type="dxa"/>
          </w:tcPr>
          <w:p w14:paraId="42583D04" w14:textId="77777777" w:rsidR="00DB15E9" w:rsidRDefault="0078312E">
            <w:pPr>
              <w:pStyle w:val="ESSPTableText"/>
            </w:pPr>
            <w:r>
              <w:t>160</w:t>
            </w:r>
          </w:p>
        </w:tc>
        <w:tc>
          <w:tcPr>
            <w:tcW w:w="2970" w:type="dxa"/>
            <w:vAlign w:val="center"/>
          </w:tcPr>
          <w:p w14:paraId="4E299540" w14:textId="77777777" w:rsidR="00DB15E9" w:rsidRDefault="0078312E">
            <w:pPr>
              <w:pStyle w:val="ESSPTableText"/>
              <w:rPr>
                <w:b/>
              </w:rPr>
            </w:pPr>
            <w:r>
              <w:t xml:space="preserve"> 136.7</w:t>
            </w:r>
          </w:p>
        </w:tc>
        <w:tc>
          <w:tcPr>
            <w:tcW w:w="3240" w:type="dxa"/>
            <w:vAlign w:val="center"/>
          </w:tcPr>
          <w:p w14:paraId="2C4F8713" w14:textId="77777777" w:rsidR="00DB15E9" w:rsidRDefault="0078312E">
            <w:pPr>
              <w:pStyle w:val="ESSPTableText"/>
              <w:rPr>
                <w:b/>
              </w:rPr>
            </w:pPr>
            <w:r>
              <w:t xml:space="preserve"> 133.7</w:t>
            </w:r>
          </w:p>
        </w:tc>
      </w:tr>
      <w:tr w:rsidR="00DB15E9" w14:paraId="65AB256C" w14:textId="77777777" w:rsidTr="00DB15E9">
        <w:tc>
          <w:tcPr>
            <w:tcW w:w="2718" w:type="dxa"/>
          </w:tcPr>
          <w:p w14:paraId="7EE36E00" w14:textId="77777777" w:rsidR="00DB15E9" w:rsidRDefault="0078312E">
            <w:pPr>
              <w:pStyle w:val="ESSPTableText"/>
            </w:pPr>
            <w:r>
              <w:t>200</w:t>
            </w:r>
          </w:p>
        </w:tc>
        <w:tc>
          <w:tcPr>
            <w:tcW w:w="2970" w:type="dxa"/>
            <w:vAlign w:val="center"/>
          </w:tcPr>
          <w:p w14:paraId="7600003E" w14:textId="77777777" w:rsidR="00DB15E9" w:rsidRDefault="0078312E">
            <w:pPr>
              <w:pStyle w:val="ESSPTableText"/>
              <w:rPr>
                <w:b/>
              </w:rPr>
            </w:pPr>
            <w:r>
              <w:t xml:space="preserve"> 136.0</w:t>
            </w:r>
          </w:p>
        </w:tc>
        <w:tc>
          <w:tcPr>
            <w:tcW w:w="3240" w:type="dxa"/>
            <w:vAlign w:val="center"/>
          </w:tcPr>
          <w:p w14:paraId="7916403C" w14:textId="77777777" w:rsidR="00DB15E9" w:rsidRDefault="0078312E">
            <w:pPr>
              <w:pStyle w:val="ESSPTableText"/>
              <w:rPr>
                <w:b/>
              </w:rPr>
            </w:pPr>
            <w:r>
              <w:t xml:space="preserve"> 133.0</w:t>
            </w:r>
          </w:p>
        </w:tc>
      </w:tr>
      <w:tr w:rsidR="00DB15E9" w14:paraId="4C520B9C" w14:textId="77777777" w:rsidTr="00DB15E9">
        <w:tc>
          <w:tcPr>
            <w:tcW w:w="2718" w:type="dxa"/>
          </w:tcPr>
          <w:p w14:paraId="71C7822A" w14:textId="77777777" w:rsidR="00DB15E9" w:rsidRDefault="0078312E">
            <w:pPr>
              <w:pStyle w:val="ESSPTableText"/>
            </w:pPr>
            <w:r>
              <w:t>250</w:t>
            </w:r>
          </w:p>
        </w:tc>
        <w:tc>
          <w:tcPr>
            <w:tcW w:w="2970" w:type="dxa"/>
            <w:vAlign w:val="center"/>
          </w:tcPr>
          <w:p w14:paraId="0DD96E9C" w14:textId="77777777" w:rsidR="00DB15E9" w:rsidRDefault="0078312E">
            <w:pPr>
              <w:pStyle w:val="ESSPTableText"/>
              <w:rPr>
                <w:b/>
              </w:rPr>
            </w:pPr>
            <w:r>
              <w:t xml:space="preserve"> 136.0</w:t>
            </w:r>
          </w:p>
        </w:tc>
        <w:tc>
          <w:tcPr>
            <w:tcW w:w="3240" w:type="dxa"/>
            <w:vAlign w:val="center"/>
          </w:tcPr>
          <w:p w14:paraId="69751922" w14:textId="77777777" w:rsidR="00DB15E9" w:rsidRDefault="0078312E">
            <w:pPr>
              <w:pStyle w:val="ESSPTableText"/>
              <w:rPr>
                <w:b/>
              </w:rPr>
            </w:pPr>
            <w:r>
              <w:t xml:space="preserve"> 133.0</w:t>
            </w:r>
          </w:p>
        </w:tc>
      </w:tr>
      <w:tr w:rsidR="00DB15E9" w14:paraId="0DE29E7B" w14:textId="77777777" w:rsidTr="00DB15E9">
        <w:tc>
          <w:tcPr>
            <w:tcW w:w="2718" w:type="dxa"/>
          </w:tcPr>
          <w:p w14:paraId="02944CD9" w14:textId="77777777" w:rsidR="00DB15E9" w:rsidRDefault="0078312E">
            <w:pPr>
              <w:pStyle w:val="ESSPTableText"/>
            </w:pPr>
            <w:r>
              <w:t>315</w:t>
            </w:r>
          </w:p>
        </w:tc>
        <w:tc>
          <w:tcPr>
            <w:tcW w:w="2970" w:type="dxa"/>
            <w:vAlign w:val="center"/>
          </w:tcPr>
          <w:p w14:paraId="0E54C6E6" w14:textId="77777777" w:rsidR="00DB15E9" w:rsidRDefault="0078312E">
            <w:pPr>
              <w:pStyle w:val="ESSPTableText"/>
              <w:rPr>
                <w:b/>
              </w:rPr>
            </w:pPr>
            <w:r>
              <w:t xml:space="preserve"> 136.0</w:t>
            </w:r>
          </w:p>
        </w:tc>
        <w:tc>
          <w:tcPr>
            <w:tcW w:w="3240" w:type="dxa"/>
            <w:vAlign w:val="center"/>
          </w:tcPr>
          <w:p w14:paraId="655F2385" w14:textId="77777777" w:rsidR="00DB15E9" w:rsidRDefault="0078312E">
            <w:pPr>
              <w:pStyle w:val="ESSPTableText"/>
              <w:rPr>
                <w:b/>
              </w:rPr>
            </w:pPr>
            <w:r>
              <w:t xml:space="preserve"> 133.0</w:t>
            </w:r>
          </w:p>
        </w:tc>
      </w:tr>
      <w:tr w:rsidR="00DB15E9" w14:paraId="2306DE99" w14:textId="77777777" w:rsidTr="00DB15E9">
        <w:tc>
          <w:tcPr>
            <w:tcW w:w="2718" w:type="dxa"/>
          </w:tcPr>
          <w:p w14:paraId="49E67D25" w14:textId="77777777" w:rsidR="00DB15E9" w:rsidRDefault="0078312E">
            <w:pPr>
              <w:pStyle w:val="ESSPTableText"/>
            </w:pPr>
            <w:r>
              <w:t>400</w:t>
            </w:r>
          </w:p>
        </w:tc>
        <w:tc>
          <w:tcPr>
            <w:tcW w:w="2970" w:type="dxa"/>
            <w:vAlign w:val="center"/>
          </w:tcPr>
          <w:p w14:paraId="2A5BD194" w14:textId="77777777" w:rsidR="00DB15E9" w:rsidRDefault="0078312E">
            <w:pPr>
              <w:pStyle w:val="ESSPTableText"/>
              <w:rPr>
                <w:b/>
              </w:rPr>
            </w:pPr>
            <w:r>
              <w:t xml:space="preserve"> 134.0</w:t>
            </w:r>
          </w:p>
        </w:tc>
        <w:tc>
          <w:tcPr>
            <w:tcW w:w="3240" w:type="dxa"/>
            <w:vAlign w:val="center"/>
          </w:tcPr>
          <w:p w14:paraId="1F83EC24" w14:textId="77777777" w:rsidR="00DB15E9" w:rsidRDefault="0078312E">
            <w:pPr>
              <w:pStyle w:val="ESSPTableText"/>
              <w:rPr>
                <w:b/>
              </w:rPr>
            </w:pPr>
            <w:r>
              <w:t xml:space="preserve"> 131.0</w:t>
            </w:r>
          </w:p>
        </w:tc>
      </w:tr>
      <w:tr w:rsidR="00DB15E9" w14:paraId="195DB43A" w14:textId="77777777" w:rsidTr="00DB15E9">
        <w:tc>
          <w:tcPr>
            <w:tcW w:w="2718" w:type="dxa"/>
          </w:tcPr>
          <w:p w14:paraId="59964BED" w14:textId="77777777" w:rsidR="00DB15E9" w:rsidRDefault="0078312E">
            <w:pPr>
              <w:pStyle w:val="ESSPTableText"/>
            </w:pPr>
            <w:r>
              <w:t>500</w:t>
            </w:r>
          </w:p>
        </w:tc>
        <w:tc>
          <w:tcPr>
            <w:tcW w:w="2970" w:type="dxa"/>
            <w:vAlign w:val="center"/>
          </w:tcPr>
          <w:p w14:paraId="75EBB3B6" w14:textId="77777777" w:rsidR="00DB15E9" w:rsidRDefault="0078312E">
            <w:pPr>
              <w:pStyle w:val="ESSPTableText"/>
              <w:rPr>
                <w:b/>
              </w:rPr>
            </w:pPr>
            <w:r>
              <w:t xml:space="preserve"> 132.0</w:t>
            </w:r>
          </w:p>
        </w:tc>
        <w:tc>
          <w:tcPr>
            <w:tcW w:w="3240" w:type="dxa"/>
            <w:vAlign w:val="center"/>
          </w:tcPr>
          <w:p w14:paraId="6E5A4D8B" w14:textId="77777777" w:rsidR="00DB15E9" w:rsidRDefault="0078312E">
            <w:pPr>
              <w:pStyle w:val="ESSPTableText"/>
              <w:rPr>
                <w:b/>
              </w:rPr>
            </w:pPr>
            <w:r>
              <w:t xml:space="preserve"> 129.0</w:t>
            </w:r>
          </w:p>
        </w:tc>
      </w:tr>
      <w:tr w:rsidR="00DB15E9" w14:paraId="213A8995" w14:textId="77777777" w:rsidTr="00DB15E9">
        <w:tc>
          <w:tcPr>
            <w:tcW w:w="2718" w:type="dxa"/>
          </w:tcPr>
          <w:p w14:paraId="3AD7C9BF" w14:textId="77777777" w:rsidR="00DB15E9" w:rsidRDefault="0078312E">
            <w:pPr>
              <w:pStyle w:val="ESSPTableText"/>
            </w:pPr>
            <w:r>
              <w:t>630</w:t>
            </w:r>
          </w:p>
        </w:tc>
        <w:tc>
          <w:tcPr>
            <w:tcW w:w="2970" w:type="dxa"/>
            <w:vAlign w:val="center"/>
          </w:tcPr>
          <w:p w14:paraId="03637277" w14:textId="77777777" w:rsidR="00DB15E9" w:rsidRDefault="0078312E">
            <w:pPr>
              <w:pStyle w:val="ESSPTableText"/>
              <w:rPr>
                <w:b/>
              </w:rPr>
            </w:pPr>
            <w:r>
              <w:t xml:space="preserve"> 131.4</w:t>
            </w:r>
          </w:p>
        </w:tc>
        <w:tc>
          <w:tcPr>
            <w:tcW w:w="3240" w:type="dxa"/>
            <w:vAlign w:val="center"/>
          </w:tcPr>
          <w:p w14:paraId="192AFD0D" w14:textId="77777777" w:rsidR="00DB15E9" w:rsidRDefault="0078312E">
            <w:pPr>
              <w:pStyle w:val="ESSPTableText"/>
              <w:rPr>
                <w:b/>
              </w:rPr>
            </w:pPr>
            <w:r>
              <w:t xml:space="preserve"> 128.4</w:t>
            </w:r>
          </w:p>
        </w:tc>
      </w:tr>
      <w:tr w:rsidR="00DB15E9" w14:paraId="2781A3A9" w14:textId="77777777" w:rsidTr="00DB15E9">
        <w:tc>
          <w:tcPr>
            <w:tcW w:w="2718" w:type="dxa"/>
          </w:tcPr>
          <w:p w14:paraId="5DBCD2E6" w14:textId="77777777" w:rsidR="00DB15E9" w:rsidRDefault="0078312E">
            <w:pPr>
              <w:pStyle w:val="ESSPTableText"/>
            </w:pPr>
            <w:r>
              <w:t>800</w:t>
            </w:r>
          </w:p>
        </w:tc>
        <w:tc>
          <w:tcPr>
            <w:tcW w:w="2970" w:type="dxa"/>
            <w:vAlign w:val="center"/>
          </w:tcPr>
          <w:p w14:paraId="2FF39D1E" w14:textId="77777777" w:rsidR="00DB15E9" w:rsidRDefault="0078312E">
            <w:pPr>
              <w:pStyle w:val="ESSPTableText"/>
              <w:rPr>
                <w:b/>
              </w:rPr>
            </w:pPr>
            <w:r>
              <w:rPr>
                <w:rFonts w:ascii="Times New Roman" w:hAnsi="Times New Roman"/>
                <w:szCs w:val="24"/>
              </w:rPr>
              <w:t xml:space="preserve"> </w:t>
            </w:r>
            <w:r>
              <w:t>131.6</w:t>
            </w:r>
          </w:p>
        </w:tc>
        <w:tc>
          <w:tcPr>
            <w:tcW w:w="3240" w:type="dxa"/>
            <w:vAlign w:val="center"/>
          </w:tcPr>
          <w:p w14:paraId="2FDF6064" w14:textId="77777777" w:rsidR="00DB15E9" w:rsidRDefault="0078312E">
            <w:pPr>
              <w:pStyle w:val="ESSPTableText"/>
              <w:rPr>
                <w:b/>
              </w:rPr>
            </w:pPr>
            <w:r>
              <w:t>128.6</w:t>
            </w:r>
          </w:p>
        </w:tc>
      </w:tr>
      <w:tr w:rsidR="00DB15E9" w14:paraId="0F3588BD" w14:textId="77777777" w:rsidTr="00DB15E9">
        <w:tc>
          <w:tcPr>
            <w:tcW w:w="2718" w:type="dxa"/>
          </w:tcPr>
          <w:p w14:paraId="3370613D" w14:textId="77777777" w:rsidR="00DB15E9" w:rsidRDefault="0078312E">
            <w:pPr>
              <w:pStyle w:val="ESSPTableText"/>
            </w:pPr>
            <w:r>
              <w:t>1000</w:t>
            </w:r>
          </w:p>
        </w:tc>
        <w:tc>
          <w:tcPr>
            <w:tcW w:w="2970" w:type="dxa"/>
            <w:vAlign w:val="center"/>
          </w:tcPr>
          <w:p w14:paraId="794F28A3" w14:textId="77777777" w:rsidR="00DB15E9" w:rsidRDefault="0078312E">
            <w:pPr>
              <w:pStyle w:val="ESSPTableText"/>
              <w:rPr>
                <w:b/>
              </w:rPr>
            </w:pPr>
            <w:r>
              <w:t xml:space="preserve"> 129.9</w:t>
            </w:r>
          </w:p>
        </w:tc>
        <w:tc>
          <w:tcPr>
            <w:tcW w:w="3240" w:type="dxa"/>
            <w:vAlign w:val="center"/>
          </w:tcPr>
          <w:p w14:paraId="6CD7005B" w14:textId="77777777" w:rsidR="00DB15E9" w:rsidRDefault="0078312E">
            <w:pPr>
              <w:pStyle w:val="ESSPTableText"/>
              <w:rPr>
                <w:b/>
              </w:rPr>
            </w:pPr>
            <w:r>
              <w:t xml:space="preserve"> 126.9</w:t>
            </w:r>
          </w:p>
        </w:tc>
      </w:tr>
      <w:tr w:rsidR="00DB15E9" w14:paraId="4A910CFA" w14:textId="77777777" w:rsidTr="00DB15E9">
        <w:tc>
          <w:tcPr>
            <w:tcW w:w="2718" w:type="dxa"/>
          </w:tcPr>
          <w:p w14:paraId="13CB80DF" w14:textId="77777777" w:rsidR="00DB15E9" w:rsidRDefault="0078312E">
            <w:pPr>
              <w:pStyle w:val="ESSPTableText"/>
            </w:pPr>
            <w:r>
              <w:t>1250</w:t>
            </w:r>
          </w:p>
        </w:tc>
        <w:tc>
          <w:tcPr>
            <w:tcW w:w="2970" w:type="dxa"/>
            <w:vAlign w:val="center"/>
          </w:tcPr>
          <w:p w14:paraId="011BA60F" w14:textId="77777777" w:rsidR="00DB15E9" w:rsidRDefault="0078312E">
            <w:pPr>
              <w:pStyle w:val="ESSPTableText"/>
              <w:rPr>
                <w:b/>
              </w:rPr>
            </w:pPr>
            <w:r>
              <w:t xml:space="preserve"> 126.1</w:t>
            </w:r>
          </w:p>
        </w:tc>
        <w:tc>
          <w:tcPr>
            <w:tcW w:w="3240" w:type="dxa"/>
            <w:vAlign w:val="center"/>
          </w:tcPr>
          <w:p w14:paraId="1CBE4606" w14:textId="77777777" w:rsidR="00DB15E9" w:rsidRDefault="0078312E">
            <w:pPr>
              <w:pStyle w:val="ESSPTableText"/>
              <w:rPr>
                <w:b/>
              </w:rPr>
            </w:pPr>
            <w:r>
              <w:t xml:space="preserve"> 123.1</w:t>
            </w:r>
          </w:p>
        </w:tc>
      </w:tr>
      <w:tr w:rsidR="00DB15E9" w14:paraId="2BD12E20" w14:textId="77777777" w:rsidTr="00DB15E9">
        <w:tc>
          <w:tcPr>
            <w:tcW w:w="2718" w:type="dxa"/>
          </w:tcPr>
          <w:p w14:paraId="39ABAC06" w14:textId="77777777" w:rsidR="00DB15E9" w:rsidRDefault="0078312E">
            <w:pPr>
              <w:pStyle w:val="ESSPTableText"/>
            </w:pPr>
            <w:r>
              <w:t>1600</w:t>
            </w:r>
          </w:p>
        </w:tc>
        <w:tc>
          <w:tcPr>
            <w:tcW w:w="2970" w:type="dxa"/>
            <w:vAlign w:val="center"/>
          </w:tcPr>
          <w:p w14:paraId="09F33235" w14:textId="77777777" w:rsidR="00DB15E9" w:rsidRDefault="0078312E">
            <w:pPr>
              <w:pStyle w:val="ESSPTableText"/>
              <w:rPr>
                <w:b/>
              </w:rPr>
            </w:pPr>
            <w:r>
              <w:t xml:space="preserve"> 121.3</w:t>
            </w:r>
          </w:p>
        </w:tc>
        <w:tc>
          <w:tcPr>
            <w:tcW w:w="3240" w:type="dxa"/>
            <w:vAlign w:val="center"/>
          </w:tcPr>
          <w:p w14:paraId="51D9CE6E" w14:textId="77777777" w:rsidR="00DB15E9" w:rsidRDefault="0078312E">
            <w:pPr>
              <w:pStyle w:val="ESSPTableText"/>
              <w:rPr>
                <w:b/>
              </w:rPr>
            </w:pPr>
            <w:r>
              <w:t xml:space="preserve"> 118.3</w:t>
            </w:r>
          </w:p>
        </w:tc>
      </w:tr>
      <w:tr w:rsidR="00DB15E9" w14:paraId="7452A07F" w14:textId="77777777" w:rsidTr="00DB15E9">
        <w:tc>
          <w:tcPr>
            <w:tcW w:w="2718" w:type="dxa"/>
          </w:tcPr>
          <w:p w14:paraId="12E34523" w14:textId="77777777" w:rsidR="00DB15E9" w:rsidRDefault="0078312E">
            <w:pPr>
              <w:pStyle w:val="ESSPTableText"/>
            </w:pPr>
            <w:r>
              <w:t>2000</w:t>
            </w:r>
          </w:p>
        </w:tc>
        <w:tc>
          <w:tcPr>
            <w:tcW w:w="2970" w:type="dxa"/>
            <w:vAlign w:val="center"/>
          </w:tcPr>
          <w:p w14:paraId="33E01C71" w14:textId="77777777" w:rsidR="00DB15E9" w:rsidRDefault="0078312E">
            <w:pPr>
              <w:pStyle w:val="ESSPTableText"/>
              <w:rPr>
                <w:b/>
              </w:rPr>
            </w:pPr>
            <w:r>
              <w:t xml:space="preserve"> 119.5</w:t>
            </w:r>
          </w:p>
        </w:tc>
        <w:tc>
          <w:tcPr>
            <w:tcW w:w="3240" w:type="dxa"/>
            <w:vAlign w:val="center"/>
          </w:tcPr>
          <w:p w14:paraId="37AFF4E4" w14:textId="77777777" w:rsidR="00DB15E9" w:rsidRDefault="0078312E">
            <w:pPr>
              <w:pStyle w:val="ESSPTableText"/>
              <w:rPr>
                <w:b/>
              </w:rPr>
            </w:pPr>
            <w:r>
              <w:t xml:space="preserve"> 116.5</w:t>
            </w:r>
          </w:p>
        </w:tc>
      </w:tr>
      <w:tr w:rsidR="00DB15E9" w14:paraId="685785F9" w14:textId="77777777" w:rsidTr="00DB15E9">
        <w:tc>
          <w:tcPr>
            <w:tcW w:w="2718" w:type="dxa"/>
          </w:tcPr>
          <w:p w14:paraId="20E427E4" w14:textId="77777777" w:rsidR="00DB15E9" w:rsidRDefault="0078312E">
            <w:pPr>
              <w:pStyle w:val="ESSPTableText"/>
            </w:pPr>
            <w:r>
              <w:t>2500</w:t>
            </w:r>
          </w:p>
        </w:tc>
        <w:tc>
          <w:tcPr>
            <w:tcW w:w="2970" w:type="dxa"/>
            <w:vAlign w:val="center"/>
          </w:tcPr>
          <w:p w14:paraId="6BDB2420" w14:textId="77777777" w:rsidR="00DB15E9" w:rsidRDefault="0078312E">
            <w:pPr>
              <w:pStyle w:val="ESSPTableText"/>
              <w:rPr>
                <w:b/>
              </w:rPr>
            </w:pPr>
            <w:r>
              <w:t xml:space="preserve"> 118.0</w:t>
            </w:r>
          </w:p>
        </w:tc>
        <w:tc>
          <w:tcPr>
            <w:tcW w:w="3240" w:type="dxa"/>
            <w:vAlign w:val="center"/>
          </w:tcPr>
          <w:p w14:paraId="5105D8B5" w14:textId="77777777" w:rsidR="00DB15E9" w:rsidRDefault="0078312E">
            <w:pPr>
              <w:pStyle w:val="ESSPTableText"/>
              <w:rPr>
                <w:b/>
              </w:rPr>
            </w:pPr>
            <w:r>
              <w:t xml:space="preserve"> 115.0</w:t>
            </w:r>
          </w:p>
        </w:tc>
      </w:tr>
      <w:tr w:rsidR="00DB15E9" w14:paraId="485113A9" w14:textId="77777777" w:rsidTr="00DB15E9">
        <w:tc>
          <w:tcPr>
            <w:tcW w:w="2718" w:type="dxa"/>
          </w:tcPr>
          <w:p w14:paraId="00BB82B8" w14:textId="77777777" w:rsidR="00DB15E9" w:rsidRDefault="0078312E">
            <w:pPr>
              <w:pStyle w:val="ESSPTableText"/>
            </w:pPr>
            <w:r>
              <w:t>3150</w:t>
            </w:r>
          </w:p>
        </w:tc>
        <w:tc>
          <w:tcPr>
            <w:tcW w:w="2970" w:type="dxa"/>
            <w:vAlign w:val="center"/>
          </w:tcPr>
          <w:p w14:paraId="3492777B" w14:textId="77777777" w:rsidR="00DB15E9" w:rsidRDefault="0078312E">
            <w:pPr>
              <w:pStyle w:val="ESSPTableText"/>
              <w:rPr>
                <w:b/>
              </w:rPr>
            </w:pPr>
            <w:r>
              <w:t xml:space="preserve"> 116.1</w:t>
            </w:r>
          </w:p>
        </w:tc>
        <w:tc>
          <w:tcPr>
            <w:tcW w:w="3240" w:type="dxa"/>
            <w:vAlign w:val="center"/>
          </w:tcPr>
          <w:p w14:paraId="71FE6AB8" w14:textId="77777777" w:rsidR="00DB15E9" w:rsidRDefault="0078312E">
            <w:pPr>
              <w:pStyle w:val="ESSPTableText"/>
              <w:rPr>
                <w:b/>
              </w:rPr>
            </w:pPr>
            <w:r>
              <w:t xml:space="preserve"> 113.1</w:t>
            </w:r>
          </w:p>
        </w:tc>
      </w:tr>
      <w:tr w:rsidR="00DB15E9" w14:paraId="5BD1398C" w14:textId="77777777" w:rsidTr="00DB15E9">
        <w:tc>
          <w:tcPr>
            <w:tcW w:w="2718" w:type="dxa"/>
          </w:tcPr>
          <w:p w14:paraId="696C1189" w14:textId="77777777" w:rsidR="00DB15E9" w:rsidRDefault="0078312E">
            <w:pPr>
              <w:pStyle w:val="ESSPTableText"/>
            </w:pPr>
            <w:r>
              <w:t>4000</w:t>
            </w:r>
          </w:p>
        </w:tc>
        <w:tc>
          <w:tcPr>
            <w:tcW w:w="2970" w:type="dxa"/>
            <w:vAlign w:val="center"/>
          </w:tcPr>
          <w:p w14:paraId="71E9981F" w14:textId="77777777" w:rsidR="00DB15E9" w:rsidRDefault="0078312E">
            <w:pPr>
              <w:pStyle w:val="ESSPTableText"/>
              <w:rPr>
                <w:b/>
              </w:rPr>
            </w:pPr>
            <w:r>
              <w:t xml:space="preserve"> 115.5</w:t>
            </w:r>
          </w:p>
        </w:tc>
        <w:tc>
          <w:tcPr>
            <w:tcW w:w="3240" w:type="dxa"/>
            <w:vAlign w:val="center"/>
          </w:tcPr>
          <w:p w14:paraId="297DD7EC" w14:textId="77777777" w:rsidR="00DB15E9" w:rsidRDefault="0078312E">
            <w:pPr>
              <w:pStyle w:val="ESSPTableText"/>
              <w:rPr>
                <w:b/>
              </w:rPr>
            </w:pPr>
            <w:r>
              <w:t xml:space="preserve"> 112.5</w:t>
            </w:r>
          </w:p>
        </w:tc>
      </w:tr>
      <w:tr w:rsidR="00DB15E9" w14:paraId="0C78E078" w14:textId="77777777" w:rsidTr="00DB15E9">
        <w:tc>
          <w:tcPr>
            <w:tcW w:w="2718" w:type="dxa"/>
          </w:tcPr>
          <w:p w14:paraId="04998E46" w14:textId="77777777" w:rsidR="00DB15E9" w:rsidRDefault="0078312E">
            <w:pPr>
              <w:pStyle w:val="ESSPTableText"/>
            </w:pPr>
            <w:r>
              <w:t>5000</w:t>
            </w:r>
          </w:p>
        </w:tc>
        <w:tc>
          <w:tcPr>
            <w:tcW w:w="2970" w:type="dxa"/>
            <w:vAlign w:val="center"/>
          </w:tcPr>
          <w:p w14:paraId="11F3C1D0" w14:textId="77777777" w:rsidR="00DB15E9" w:rsidRDefault="0078312E">
            <w:pPr>
              <w:pStyle w:val="ESSPTableText"/>
              <w:rPr>
                <w:b/>
              </w:rPr>
            </w:pPr>
            <w:r>
              <w:t xml:space="preserve"> 114.8</w:t>
            </w:r>
          </w:p>
        </w:tc>
        <w:tc>
          <w:tcPr>
            <w:tcW w:w="3240" w:type="dxa"/>
            <w:vAlign w:val="center"/>
          </w:tcPr>
          <w:p w14:paraId="4F5F0CBF" w14:textId="77777777" w:rsidR="00DB15E9" w:rsidRDefault="0078312E">
            <w:pPr>
              <w:pStyle w:val="ESSPTableText"/>
              <w:rPr>
                <w:b/>
              </w:rPr>
            </w:pPr>
            <w:r>
              <w:t xml:space="preserve"> 111.8</w:t>
            </w:r>
          </w:p>
        </w:tc>
      </w:tr>
      <w:tr w:rsidR="00DB15E9" w14:paraId="0342EA67" w14:textId="77777777" w:rsidTr="00DB15E9">
        <w:tc>
          <w:tcPr>
            <w:tcW w:w="2718" w:type="dxa"/>
          </w:tcPr>
          <w:p w14:paraId="14481059" w14:textId="77777777" w:rsidR="00DB15E9" w:rsidRDefault="0078312E">
            <w:pPr>
              <w:pStyle w:val="ESSPTableText"/>
            </w:pPr>
            <w:r>
              <w:t>6300</w:t>
            </w:r>
          </w:p>
        </w:tc>
        <w:tc>
          <w:tcPr>
            <w:tcW w:w="2970" w:type="dxa"/>
            <w:vAlign w:val="center"/>
          </w:tcPr>
          <w:p w14:paraId="2BA7D504" w14:textId="77777777" w:rsidR="00DB15E9" w:rsidRDefault="0078312E">
            <w:pPr>
              <w:pStyle w:val="ESSPTableText"/>
              <w:rPr>
                <w:b/>
              </w:rPr>
            </w:pPr>
            <w:r>
              <w:t xml:space="preserve"> 114.0</w:t>
            </w:r>
          </w:p>
        </w:tc>
        <w:tc>
          <w:tcPr>
            <w:tcW w:w="3240" w:type="dxa"/>
            <w:vAlign w:val="center"/>
          </w:tcPr>
          <w:p w14:paraId="60A3B425" w14:textId="77777777" w:rsidR="00DB15E9" w:rsidRDefault="0078312E">
            <w:pPr>
              <w:pStyle w:val="ESSPTableText"/>
              <w:rPr>
                <w:b/>
              </w:rPr>
            </w:pPr>
            <w:r>
              <w:t xml:space="preserve"> 111.0</w:t>
            </w:r>
          </w:p>
        </w:tc>
      </w:tr>
      <w:tr w:rsidR="00DB15E9" w14:paraId="727ABE9A" w14:textId="77777777" w:rsidTr="00DB15E9">
        <w:tc>
          <w:tcPr>
            <w:tcW w:w="2718" w:type="dxa"/>
          </w:tcPr>
          <w:p w14:paraId="392727AB" w14:textId="77777777" w:rsidR="00DB15E9" w:rsidRDefault="0078312E">
            <w:pPr>
              <w:pStyle w:val="ESSPTableText"/>
            </w:pPr>
            <w:r>
              <w:t>8000</w:t>
            </w:r>
          </w:p>
          <w:p w14:paraId="2E299215" w14:textId="77777777" w:rsidR="00DB15E9" w:rsidRDefault="0078312E">
            <w:pPr>
              <w:pStyle w:val="ESSPTableText"/>
            </w:pPr>
            <w:r>
              <w:t>10000</w:t>
            </w:r>
          </w:p>
        </w:tc>
        <w:tc>
          <w:tcPr>
            <w:tcW w:w="2970" w:type="dxa"/>
            <w:vAlign w:val="center"/>
          </w:tcPr>
          <w:p w14:paraId="0BD5FAA3" w14:textId="77777777" w:rsidR="00DB15E9" w:rsidRDefault="0078312E">
            <w:pPr>
              <w:pStyle w:val="ESSPTableText"/>
            </w:pPr>
            <w:r>
              <w:t xml:space="preserve"> 113.0</w:t>
            </w:r>
          </w:p>
          <w:p w14:paraId="2AFCEBE0" w14:textId="77777777" w:rsidR="00DB15E9" w:rsidRDefault="0078312E">
            <w:pPr>
              <w:pStyle w:val="ESSPTableText"/>
              <w:rPr>
                <w:b/>
              </w:rPr>
            </w:pPr>
            <w:r>
              <w:t>112.1</w:t>
            </w:r>
          </w:p>
        </w:tc>
        <w:tc>
          <w:tcPr>
            <w:tcW w:w="3240" w:type="dxa"/>
            <w:vAlign w:val="center"/>
          </w:tcPr>
          <w:p w14:paraId="43F1ADBE" w14:textId="77777777" w:rsidR="00DB15E9" w:rsidRDefault="0078312E">
            <w:pPr>
              <w:pStyle w:val="ESSPTableText"/>
            </w:pPr>
            <w:r>
              <w:t xml:space="preserve"> 110.0</w:t>
            </w:r>
          </w:p>
          <w:p w14:paraId="29A322CC" w14:textId="77777777" w:rsidR="00DB15E9" w:rsidRDefault="0078312E">
            <w:pPr>
              <w:pStyle w:val="ESSPTableText"/>
              <w:rPr>
                <w:b/>
              </w:rPr>
            </w:pPr>
            <w:r>
              <w:t>109.1</w:t>
            </w:r>
          </w:p>
        </w:tc>
      </w:tr>
    </w:tbl>
    <w:p w14:paraId="69EF199F" w14:textId="77777777" w:rsidR="00DB15E9" w:rsidRDefault="0078312E">
      <w:pPr>
        <w:pStyle w:val="ESSPBodyText"/>
      </w:pPr>
      <w:r>
        <w:t>Rationale: Acoustic design guidelines are an envelope of a number of common launch vehicles.</w:t>
      </w:r>
      <w:r>
        <w:rPr>
          <w:rFonts w:ascii="Times New Roman" w:hAnsi="Times New Roman"/>
          <w:szCs w:val="24"/>
        </w:rPr>
        <w:t xml:space="preserve"> </w:t>
      </w:r>
      <w:r>
        <w:t>This acoustic environment should be used for preliminary design of components and subsystems if a specific launch vehicle has not been defined.</w:t>
      </w:r>
      <w:r>
        <w:rPr>
          <w:rFonts w:ascii="Times New Roman" w:hAnsi="Times New Roman"/>
          <w:szCs w:val="24"/>
        </w:rPr>
        <w:t xml:space="preserve"> </w:t>
      </w:r>
      <w:r>
        <w:t>While all hardware should be assessed for sensitivity to direct acoustic impingement, unless the component or subsystem has structure which is light-weight and has large surface area (typically a surface to weight ratio of &gt; 150 in</w:t>
      </w:r>
      <w:r>
        <w:rPr>
          <w:vertAlign w:val="superscript"/>
        </w:rPr>
        <w:t>2</w:t>
      </w:r>
      <w:r>
        <w:t xml:space="preserve">/lb), it is </w:t>
      </w:r>
      <w:r>
        <w:lastRenderedPageBreak/>
        <w:t>expected that the random environment specified in 2.11.5.2 will be the dominant high-frequency loading condition rather than the acoustic environment defined in Table 2-4.</w:t>
      </w:r>
      <w:r>
        <w:rPr>
          <w:rFonts w:ascii="Times New Roman" w:hAnsi="Times New Roman"/>
          <w:szCs w:val="24"/>
        </w:rPr>
        <w:t xml:space="preserve"> </w:t>
      </w:r>
    </w:p>
    <w:p w14:paraId="14B6D663" w14:textId="77777777" w:rsidR="00DB15E9" w:rsidRDefault="0078312E">
      <w:pPr>
        <w:pStyle w:val="ESSPBodyText"/>
      </w:pPr>
      <w:r>
        <w:t>The acoustic noise design requirement for both the instrument and its assemblies is a reverberant random-incidence acoustic field specified in 1/3 octave bands.</w:t>
      </w:r>
      <w:r>
        <w:rPr>
          <w:rFonts w:ascii="Times New Roman" w:hAnsi="Times New Roman"/>
          <w:szCs w:val="24"/>
        </w:rPr>
        <w:t xml:space="preserve"> </w:t>
      </w:r>
      <w:r>
        <w:t>The design / qualification / proto-flight exposure time is 2 minutes; acceptance exposure time is one minute.</w:t>
      </w:r>
    </w:p>
    <w:p w14:paraId="454B3D7A" w14:textId="77777777" w:rsidR="00DB15E9" w:rsidRDefault="0078312E">
      <w:pPr>
        <w:pStyle w:val="Heading4"/>
      </w:pPr>
      <w:bookmarkStart w:id="167" w:name="_Toc471910809"/>
      <w:r>
        <w:t>Mechanical Shock</w:t>
      </w:r>
      <w:bookmarkEnd w:id="167"/>
    </w:p>
    <w:p w14:paraId="72823CEC" w14:textId="77777777" w:rsidR="00DB15E9" w:rsidRDefault="0078312E">
      <w:pPr>
        <w:pStyle w:val="Requirement"/>
      </w:pPr>
      <w:r>
        <w:t xml:space="preserve">The Instrument should function according to its operational specifications after being subjected to a spacecraft to launch vehicle separation or other shock transient accelerations represented by </w:t>
      </w:r>
      <w:r>
        <w:rPr>
          <w:rStyle w:val="ESSPBodyTextChar"/>
        </w:rPr>
        <w:t>table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DB15E9" w14:paraId="77F33DD6" w14:textId="77777777">
        <w:trPr>
          <w:cantSplit/>
        </w:trPr>
        <w:tc>
          <w:tcPr>
            <w:tcW w:w="8856" w:type="dxa"/>
            <w:gridSpan w:val="3"/>
            <w:tcBorders>
              <w:top w:val="nil"/>
              <w:left w:val="nil"/>
              <w:right w:val="nil"/>
            </w:tcBorders>
          </w:tcPr>
          <w:p w14:paraId="09680E24" w14:textId="77777777" w:rsidR="00DB15E9" w:rsidRDefault="0078312E">
            <w:pPr>
              <w:pStyle w:val="ESSPTableCaption"/>
              <w:keepNext w:val="0"/>
            </w:pPr>
            <w:bookmarkStart w:id="168" w:name="_Toc471971556"/>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8</w:t>
            </w:r>
            <w:r w:rsidR="00BA5284">
              <w:rPr>
                <w:noProof/>
              </w:rPr>
              <w:fldChar w:fldCharType="end"/>
            </w:r>
            <w:r>
              <w:t>: Shock Response Spectrum (Q=10)</w:t>
            </w:r>
            <w:bookmarkEnd w:id="168"/>
          </w:p>
        </w:tc>
      </w:tr>
      <w:tr w:rsidR="00DB15E9" w14:paraId="7310E5D5" w14:textId="77777777">
        <w:tc>
          <w:tcPr>
            <w:tcW w:w="2952" w:type="dxa"/>
            <w:shd w:val="clear" w:color="auto" w:fill="000000" w:themeFill="text1"/>
          </w:tcPr>
          <w:p w14:paraId="499834E0" w14:textId="77777777" w:rsidR="00DB15E9" w:rsidRDefault="0078312E">
            <w:pPr>
              <w:pStyle w:val="ESSPTableText"/>
            </w:pPr>
            <w:r>
              <w:t>Frequency (Hz)</w:t>
            </w:r>
          </w:p>
        </w:tc>
        <w:tc>
          <w:tcPr>
            <w:tcW w:w="2952" w:type="dxa"/>
            <w:shd w:val="clear" w:color="auto" w:fill="000000" w:themeFill="text1"/>
          </w:tcPr>
          <w:p w14:paraId="6F315235" w14:textId="77777777" w:rsidR="00DB15E9" w:rsidRDefault="0078312E">
            <w:pPr>
              <w:pStyle w:val="ESSPTableText"/>
            </w:pPr>
            <w:r>
              <w:t>Acceptance Level (g)</w:t>
            </w:r>
          </w:p>
        </w:tc>
        <w:tc>
          <w:tcPr>
            <w:tcW w:w="2952" w:type="dxa"/>
            <w:shd w:val="clear" w:color="auto" w:fill="000000" w:themeFill="text1"/>
          </w:tcPr>
          <w:p w14:paraId="522BBD7A" w14:textId="77777777" w:rsidR="00DB15E9" w:rsidRDefault="0078312E">
            <w:pPr>
              <w:pStyle w:val="ESSPTableText"/>
            </w:pPr>
            <w:r>
              <w:t>Protoflight/Qualification (g)</w:t>
            </w:r>
          </w:p>
        </w:tc>
      </w:tr>
      <w:tr w:rsidR="00DB15E9" w14:paraId="389FFD51" w14:textId="77777777">
        <w:tc>
          <w:tcPr>
            <w:tcW w:w="2952" w:type="dxa"/>
          </w:tcPr>
          <w:p w14:paraId="6A4E0786" w14:textId="77777777" w:rsidR="00DB15E9" w:rsidRDefault="0078312E">
            <w:pPr>
              <w:pStyle w:val="ESSPTableText"/>
            </w:pPr>
            <w:r>
              <w:t>100</w:t>
            </w:r>
          </w:p>
        </w:tc>
        <w:tc>
          <w:tcPr>
            <w:tcW w:w="2952" w:type="dxa"/>
          </w:tcPr>
          <w:p w14:paraId="4E83964A" w14:textId="77777777" w:rsidR="00DB15E9" w:rsidRDefault="0078312E">
            <w:pPr>
              <w:pStyle w:val="ESSPTableText"/>
            </w:pPr>
            <w:r>
              <w:t>160</w:t>
            </w:r>
          </w:p>
        </w:tc>
        <w:tc>
          <w:tcPr>
            <w:tcW w:w="2952" w:type="dxa"/>
          </w:tcPr>
          <w:p w14:paraId="29298354" w14:textId="77777777" w:rsidR="00DB15E9" w:rsidRDefault="0078312E">
            <w:pPr>
              <w:pStyle w:val="ESSPTableText"/>
            </w:pPr>
            <w:r>
              <w:t>224</w:t>
            </w:r>
          </w:p>
        </w:tc>
      </w:tr>
      <w:tr w:rsidR="00DB15E9" w14:paraId="66A2117D" w14:textId="77777777">
        <w:tc>
          <w:tcPr>
            <w:tcW w:w="2952" w:type="dxa"/>
          </w:tcPr>
          <w:p w14:paraId="6CC5D10F" w14:textId="77777777" w:rsidR="00DB15E9" w:rsidRDefault="0078312E">
            <w:pPr>
              <w:pStyle w:val="ESSPTableText"/>
            </w:pPr>
            <w:r>
              <w:t>630</w:t>
            </w:r>
          </w:p>
        </w:tc>
        <w:tc>
          <w:tcPr>
            <w:tcW w:w="2952" w:type="dxa"/>
          </w:tcPr>
          <w:p w14:paraId="7BF214F9" w14:textId="77777777" w:rsidR="00DB15E9" w:rsidRDefault="0078312E">
            <w:pPr>
              <w:pStyle w:val="ESSPTableText"/>
            </w:pPr>
            <w:r>
              <w:t>1000</w:t>
            </w:r>
          </w:p>
        </w:tc>
        <w:tc>
          <w:tcPr>
            <w:tcW w:w="2952" w:type="dxa"/>
          </w:tcPr>
          <w:p w14:paraId="111B7D49" w14:textId="77777777" w:rsidR="00DB15E9" w:rsidRDefault="0078312E">
            <w:pPr>
              <w:pStyle w:val="ESSPTableText"/>
            </w:pPr>
            <w:r>
              <w:t>1400</w:t>
            </w:r>
          </w:p>
        </w:tc>
      </w:tr>
      <w:tr w:rsidR="00DB15E9" w14:paraId="32F0DDE5" w14:textId="77777777">
        <w:tc>
          <w:tcPr>
            <w:tcW w:w="2952" w:type="dxa"/>
          </w:tcPr>
          <w:p w14:paraId="7285DC8C" w14:textId="77777777" w:rsidR="00DB15E9" w:rsidRDefault="0078312E">
            <w:pPr>
              <w:pStyle w:val="ESSPTableText"/>
            </w:pPr>
            <w:r>
              <w:t>10000</w:t>
            </w:r>
          </w:p>
        </w:tc>
        <w:tc>
          <w:tcPr>
            <w:tcW w:w="2952" w:type="dxa"/>
          </w:tcPr>
          <w:p w14:paraId="146AD588" w14:textId="77777777" w:rsidR="00DB15E9" w:rsidRDefault="0078312E">
            <w:pPr>
              <w:pStyle w:val="ESSPTableText"/>
            </w:pPr>
            <w:r>
              <w:t>1000</w:t>
            </w:r>
          </w:p>
        </w:tc>
        <w:tc>
          <w:tcPr>
            <w:tcW w:w="2952" w:type="dxa"/>
          </w:tcPr>
          <w:p w14:paraId="618E80D2" w14:textId="77777777" w:rsidR="00DB15E9" w:rsidRDefault="0078312E">
            <w:pPr>
              <w:pStyle w:val="ESSPTableText"/>
            </w:pPr>
            <w:r>
              <w:t>1400</w:t>
            </w:r>
          </w:p>
        </w:tc>
      </w:tr>
      <w:tr w:rsidR="00DB15E9" w14:paraId="18BF3793" w14:textId="77777777">
        <w:tc>
          <w:tcPr>
            <w:tcW w:w="2952" w:type="dxa"/>
          </w:tcPr>
          <w:p w14:paraId="5D7D595B" w14:textId="77777777" w:rsidR="00DB15E9" w:rsidRDefault="00DB15E9">
            <w:pPr>
              <w:pStyle w:val="ESSPTableText"/>
            </w:pPr>
          </w:p>
        </w:tc>
        <w:tc>
          <w:tcPr>
            <w:tcW w:w="2952" w:type="dxa"/>
          </w:tcPr>
          <w:p w14:paraId="2CD9D69F" w14:textId="77777777" w:rsidR="00DB15E9" w:rsidRDefault="0078312E">
            <w:pPr>
              <w:pStyle w:val="ESSPTableText"/>
            </w:pPr>
            <w:r>
              <w:t>The shock levels given assume that a component is located at least 60 cm (2 ft) from a shock source</w:t>
            </w:r>
          </w:p>
        </w:tc>
        <w:tc>
          <w:tcPr>
            <w:tcW w:w="2952" w:type="dxa"/>
          </w:tcPr>
          <w:p w14:paraId="3C0B4E14" w14:textId="77777777" w:rsidR="00DB15E9" w:rsidRDefault="0078312E">
            <w:pPr>
              <w:pStyle w:val="ESSPTableText"/>
            </w:pPr>
            <w:r>
              <w:t>The shock levels given assume that a component is located at least 60 cm (2 ft) from a shock source</w:t>
            </w:r>
          </w:p>
        </w:tc>
      </w:tr>
    </w:tbl>
    <w:p w14:paraId="7AC3C1DD" w14:textId="77777777" w:rsidR="00DB15E9" w:rsidRDefault="0078312E">
      <w:pPr>
        <w:spacing w:before="120"/>
        <w:rPr>
          <w:rFonts w:asciiTheme="majorHAnsi" w:hAnsiTheme="majorHAnsi" w:cstheme="majorHAnsi"/>
        </w:rPr>
      </w:pPr>
      <w:r>
        <w:rPr>
          <w:rFonts w:asciiTheme="majorHAnsi" w:hAnsiTheme="majorHAnsi" w:cstheme="majorHAnsi"/>
        </w:rPr>
        <w:t xml:space="preserve">Rationale: The Instrument must be able to withstand conditions typical of the AI&amp;T, launch and on-orbit environment without suffering degraded performance, damage, or inducing degraded performance of or damage to the Host Spacecraft or other payloads. This guidance represents the need to be compatible with the mechanical shock that will be experienced during ground processing, launch ascent and on orbit. Table 2-6 provides a generic shock environment that may be used for hardware design until the mission specific shock environments can be defined. Based on broad survey of industry hosted payload accommodations, designing for higher shock levels (up to 5000 g for 1600 Hz and 10000 Hz) would maximize opportunity for finding a host. After pairing, the levels shown in Table 2-6 should be updated once all payload shock sources have been defined. </w:t>
      </w:r>
    </w:p>
    <w:p w14:paraId="42F135B8" w14:textId="77777777" w:rsidR="00DB15E9" w:rsidRDefault="0078312E">
      <w:pPr>
        <w:pStyle w:val="Heading3"/>
      </w:pPr>
      <w:bookmarkStart w:id="169" w:name="_Toc471910810"/>
      <w:r>
        <w:t>Operational Environment</w:t>
      </w:r>
      <w:bookmarkEnd w:id="169"/>
    </w:p>
    <w:p w14:paraId="3AA6A631" w14:textId="77777777" w:rsidR="00DB15E9" w:rsidRDefault="0078312E">
      <w:pPr>
        <w:pStyle w:val="ESSPBodyText"/>
      </w:pPr>
      <w:r>
        <w:t>The Operational Environment represents that time in the Instrument’s lifecycle following the completion of the launch vehicle’s final injection burn, when the Instrument is exposed to space and established in its operational orbit (</w:t>
      </w:r>
      <w:r>
        <w:rPr>
          <w:rStyle w:val="ESSPBodyTextChar"/>
        </w:rPr>
        <w:t>Figure 2-6</w:t>
      </w:r>
      <w:r>
        <w:t>).</w:t>
      </w:r>
    </w:p>
    <w:p w14:paraId="2642712E" w14:textId="77777777" w:rsidR="00DB15E9" w:rsidRDefault="0078312E">
      <w:pPr>
        <w:pStyle w:val="ESSPFigure"/>
        <w:rPr>
          <w:rFonts w:ascii="Helvetica" w:hAnsi="Helvetica"/>
          <w:noProof w:val="0"/>
        </w:rPr>
      </w:pPr>
      <w:r>
        <w:rPr>
          <w:rFonts w:ascii="Helvetica" w:hAnsi="Helvetica"/>
        </w:rPr>
        <w:lastRenderedPageBreak/>
        <w:drawing>
          <wp:inline distT="0" distB="0" distL="0" distR="0" wp14:anchorId="5E240065" wp14:editId="262FFB42">
            <wp:extent cx="5218776" cy="5443268"/>
            <wp:effectExtent l="0" t="0" r="127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I Operational Environment.pdf"/>
                    <pic:cNvPicPr/>
                  </pic:nvPicPr>
                  <pic:blipFill rotWithShape="1">
                    <a:blip r:embed="rId18">
                      <a:extLst>
                        <a:ext uri="{28A0092B-C50C-407E-A947-70E740481C1C}">
                          <a14:useLocalDpi xmlns:a14="http://schemas.microsoft.com/office/drawing/2010/main" val="0"/>
                        </a:ext>
                      </a:extLst>
                    </a:blip>
                    <a:srcRect r="7402" b="7168"/>
                    <a:stretch/>
                  </pic:blipFill>
                  <pic:spPr bwMode="auto">
                    <a:xfrm>
                      <a:off x="0" y="0"/>
                      <a:ext cx="5222172" cy="5446810"/>
                    </a:xfrm>
                    <a:prstGeom prst="rect">
                      <a:avLst/>
                    </a:prstGeom>
                    <a:ln>
                      <a:noFill/>
                    </a:ln>
                    <a:extLst>
                      <a:ext uri="{53640926-AAD7-44D8-BBD7-CCE9431645EC}">
                        <a14:shadowObscured xmlns:a14="http://schemas.microsoft.com/office/drawing/2010/main"/>
                      </a:ext>
                    </a:extLst>
                  </pic:spPr>
                </pic:pic>
              </a:graphicData>
            </a:graphic>
          </wp:inline>
        </w:drawing>
      </w:r>
    </w:p>
    <w:p w14:paraId="5DFCC135" w14:textId="77777777" w:rsidR="00DB15E9" w:rsidRDefault="0078312E">
      <w:pPr>
        <w:pStyle w:val="ESSPFigureCaption"/>
        <w:rPr>
          <w:rFonts w:ascii="Helvetica" w:hAnsi="Helvetica"/>
        </w:rPr>
      </w:pPr>
      <w:bookmarkStart w:id="170" w:name="_Toc471971587"/>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6</w:t>
      </w:r>
      <w:r>
        <w:rPr>
          <w:rFonts w:ascii="Helvetica" w:hAnsi="Helvetica"/>
        </w:rPr>
        <w:fldChar w:fldCharType="end"/>
      </w:r>
      <w:r>
        <w:rPr>
          <w:rFonts w:ascii="Helvetica" w:hAnsi="Helvetica"/>
        </w:rPr>
        <w:t>: Operational Environment</w:t>
      </w:r>
      <w:bookmarkEnd w:id="170"/>
    </w:p>
    <w:p w14:paraId="448D03BE" w14:textId="77777777" w:rsidR="00DB15E9" w:rsidRDefault="0078312E">
      <w:pPr>
        <w:pStyle w:val="ESSPBodyText"/>
      </w:pPr>
      <w:r>
        <w:t xml:space="preserve">Unless otherwise stated, the LEO guidelines are based upon a 98-degree inclination, 705 km altitude circular orbit. </w:t>
      </w:r>
    </w:p>
    <w:p w14:paraId="70D562AB" w14:textId="77777777" w:rsidR="00DB15E9" w:rsidRDefault="0078312E">
      <w:pPr>
        <w:pStyle w:val="Heading4"/>
      </w:pPr>
      <w:bookmarkStart w:id="171" w:name="_Toc471910811"/>
      <w:r>
        <w:t>Orbital Acceleration</w:t>
      </w:r>
      <w:bookmarkEnd w:id="171"/>
    </w:p>
    <w:p w14:paraId="4537215F" w14:textId="77777777" w:rsidR="00DB15E9" w:rsidRDefault="0078312E">
      <w:pPr>
        <w:pStyle w:val="Requirement"/>
      </w:pPr>
      <w:r>
        <w:t>The Instrument should function according to its operational specifications after being subjected to a maximum spacecraft-induced acceleration of 0.15g.</w:t>
      </w:r>
    </w:p>
    <w:p w14:paraId="6F081F09" w14:textId="77777777" w:rsidR="00DB15E9" w:rsidRDefault="0078312E">
      <w:pPr>
        <w:pStyle w:val="ESSPBodyText"/>
      </w:pPr>
      <w:r>
        <w:t>Rationale: The Instrument in its operational configuration must be able to withstand conditions typical of the on-orbit environment without suffering degraded performance or being damaged or inducing degraded performance of or damage to the Host Spacecraft or other payloads.</w:t>
      </w:r>
      <w:r>
        <w:rPr>
          <w:rFonts w:asciiTheme="majorHAnsi" w:hAnsiTheme="majorHAnsi" w:cstheme="majorHAnsi"/>
        </w:rPr>
        <w:t xml:space="preserve"> </w:t>
      </w:r>
      <w:r>
        <w:t xml:space="preserve">This guidance represents the need to be compatible with the accelerations that will be experienced on </w:t>
      </w:r>
      <w:r>
        <w:lastRenderedPageBreak/>
        <w:t>orbit.</w:t>
      </w:r>
      <w:r>
        <w:rPr>
          <w:rFonts w:asciiTheme="majorHAnsi" w:hAnsiTheme="majorHAnsi" w:cstheme="majorHAnsi"/>
        </w:rPr>
        <w:t xml:space="preserve"> </w:t>
      </w:r>
      <w:r>
        <w:t xml:space="preserve">The guideline is the all-satisfy strategy scenario, based upon CII analysis of the following sources of performance data: </w:t>
      </w:r>
      <w:r>
        <w:rPr>
          <w:i/>
        </w:rPr>
        <w:t>CII RFI for GEO Hosted Payload Opportunities</w:t>
      </w:r>
      <w:r>
        <w:t xml:space="preserve"> responses, the </w:t>
      </w:r>
      <w:r>
        <w:rPr>
          <w:i/>
        </w:rPr>
        <w:t xml:space="preserve">GEVS-SE, </w:t>
      </w:r>
      <w:r>
        <w:t xml:space="preserve">and </w:t>
      </w:r>
      <w:r>
        <w:rPr>
          <w:i/>
        </w:rPr>
        <w:t>GOES-R GIRD</w:t>
      </w:r>
      <w:r>
        <w:t>.</w:t>
      </w:r>
    </w:p>
    <w:p w14:paraId="259BA132" w14:textId="77777777" w:rsidR="00DB15E9" w:rsidRDefault="0078312E">
      <w:pPr>
        <w:pStyle w:val="Heading4"/>
      </w:pPr>
      <w:bookmarkStart w:id="172" w:name="_Toc471910812"/>
      <w:r>
        <w:t>Corona</w:t>
      </w:r>
      <w:bookmarkEnd w:id="172"/>
    </w:p>
    <w:p w14:paraId="5E83B7A1" w14:textId="77777777" w:rsidR="00DB15E9" w:rsidRDefault="0078312E">
      <w:pPr>
        <w:pStyle w:val="Requirement"/>
      </w:pPr>
      <w:r>
        <w:t>The Instrument should exhibit no effect of corona or other forms of electrical breakdown after being subjected to a range of ambient pressures from 101 kPa (~760 Torr) at sea level to 1.3×10</w:t>
      </w:r>
      <w:r>
        <w:rPr>
          <w:vertAlign w:val="superscript"/>
        </w:rPr>
        <w:t>-15</w:t>
      </w:r>
      <w:r>
        <w:t xml:space="preserve"> kPa (10</w:t>
      </w:r>
      <w:r>
        <w:rPr>
          <w:vertAlign w:val="superscript"/>
        </w:rPr>
        <w:t>-14</w:t>
      </w:r>
      <w:r>
        <w:t xml:space="preserve"> Torr) in space.</w:t>
      </w:r>
    </w:p>
    <w:p w14:paraId="7E288BBA"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heme="majorHAnsi" w:hAnsiTheme="majorHAnsi" w:cstheme="majorHAnsi"/>
        </w:rPr>
        <w:t xml:space="preserve"> </w:t>
      </w:r>
      <w:r>
        <w:t>This guidance represents the need to be compatible with the environment that will be experienced during ground processing, launch ascent and on orbit.</w:t>
      </w:r>
      <w:r>
        <w:rPr>
          <w:rFonts w:asciiTheme="majorHAnsi" w:hAnsiTheme="majorHAnsi" w:cstheme="majorHAnsi"/>
        </w:rPr>
        <w:t xml:space="preserve"> </w:t>
      </w:r>
      <w:r>
        <w:t xml:space="preserve">The guideline is the all-satisfy strategy scenario, based upon CII analysis of the following sources of performance data: </w:t>
      </w:r>
      <w:r>
        <w:rPr>
          <w:i/>
        </w:rPr>
        <w:t>CII RFI for GEO Hosted Payload Opportunities</w:t>
      </w:r>
      <w:r>
        <w:t xml:space="preserve"> responses, the </w:t>
      </w:r>
      <w:r>
        <w:rPr>
          <w:i/>
        </w:rPr>
        <w:t xml:space="preserve">GEVS-SE, </w:t>
      </w:r>
      <w:r>
        <w:t xml:space="preserve">and </w:t>
      </w:r>
      <w:r>
        <w:rPr>
          <w:i/>
        </w:rPr>
        <w:t>GOES-R GIRD</w:t>
      </w:r>
      <w:r>
        <w:t>.</w:t>
      </w:r>
    </w:p>
    <w:p w14:paraId="74856284" w14:textId="77777777" w:rsidR="00DB15E9" w:rsidRDefault="0078312E">
      <w:pPr>
        <w:pStyle w:val="Heading4"/>
      </w:pPr>
      <w:bookmarkStart w:id="173" w:name="_Ref296465929"/>
      <w:bookmarkStart w:id="174" w:name="_Toc471910813"/>
      <w:r>
        <w:t xml:space="preserve">Thermal </w:t>
      </w:r>
      <w:bookmarkEnd w:id="173"/>
      <w:r>
        <w:t>Environment</w:t>
      </w:r>
      <w:bookmarkEnd w:id="174"/>
    </w:p>
    <w:p w14:paraId="3C215D36" w14:textId="77777777" w:rsidR="00DB15E9" w:rsidRDefault="0078312E">
      <w:pPr>
        <w:pStyle w:val="Requirement"/>
      </w:pPr>
      <w:r>
        <w:t xml:space="preserve">The Instrument should function according to its operational specifications after being subjected to a thermal environment characterized by </w:t>
      </w:r>
      <w:r>
        <w:rPr>
          <w:rStyle w:val="ESSPBodyTextChar"/>
        </w:rPr>
        <w:t>Table 2-9</w:t>
      </w:r>
      <w:r>
        <w:t>.</w:t>
      </w:r>
    </w:p>
    <w:p w14:paraId="6701B2D0" w14:textId="77777777" w:rsidR="00DB15E9" w:rsidRDefault="0078312E">
      <w:pPr>
        <w:pStyle w:val="ESSPTableCaption"/>
      </w:pPr>
      <w:bookmarkStart w:id="175" w:name="_Toc297094121"/>
      <w:bookmarkStart w:id="176" w:name="_Toc326129309"/>
      <w:bookmarkStart w:id="177" w:name="_Toc471971557"/>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9</w:t>
      </w:r>
      <w:r w:rsidR="00BA5284">
        <w:rPr>
          <w:noProof/>
        </w:rPr>
        <w:fldChar w:fldCharType="end"/>
      </w:r>
      <w:r>
        <w:t>: Thermal Radiation Environment</w:t>
      </w:r>
      <w:bookmarkEnd w:id="175"/>
      <w:bookmarkEnd w:id="176"/>
      <w:bookmarkEnd w:id="177"/>
    </w:p>
    <w:tbl>
      <w:tblPr>
        <w:tblStyle w:val="TableGrid8"/>
        <w:tblW w:w="9576" w:type="dxa"/>
        <w:tblLook w:val="04A0" w:firstRow="1" w:lastRow="0" w:firstColumn="1" w:lastColumn="0" w:noHBand="0" w:noVBand="1"/>
      </w:tblPr>
      <w:tblGrid>
        <w:gridCol w:w="1638"/>
        <w:gridCol w:w="2430"/>
        <w:gridCol w:w="3114"/>
        <w:gridCol w:w="2394"/>
      </w:tblGrid>
      <w:tr w:rsidR="00DB15E9" w14:paraId="16B0969C" w14:textId="77777777" w:rsidTr="00DB15E9">
        <w:trPr>
          <w:cnfStyle w:val="100000000000" w:firstRow="1" w:lastRow="0" w:firstColumn="0" w:lastColumn="0" w:oddVBand="0" w:evenVBand="0" w:oddHBand="0" w:evenHBand="0" w:firstRowFirstColumn="0" w:firstRowLastColumn="0" w:lastRowFirstColumn="0" w:lastRowLastColumn="0"/>
          <w:trHeight w:val="60"/>
        </w:trPr>
        <w:tc>
          <w:tcPr>
            <w:tcW w:w="1638" w:type="dxa"/>
          </w:tcPr>
          <w:p w14:paraId="4735B95E" w14:textId="77777777" w:rsidR="00DB15E9" w:rsidRDefault="0078312E">
            <w:pPr>
              <w:pStyle w:val="ESSPTableText"/>
            </w:pPr>
            <w:r>
              <w:t>Domain</w:t>
            </w:r>
          </w:p>
        </w:tc>
        <w:tc>
          <w:tcPr>
            <w:tcW w:w="2430" w:type="dxa"/>
          </w:tcPr>
          <w:p w14:paraId="731522E3" w14:textId="77777777" w:rsidR="00DB15E9" w:rsidRDefault="0078312E">
            <w:pPr>
              <w:pStyle w:val="ESSPTableText"/>
            </w:pPr>
            <w:r>
              <w:t xml:space="preserve">Solar Flux </w:t>
            </w:r>
            <w:bookmarkStart w:id="178" w:name="OLE_LINK73"/>
            <w:bookmarkStart w:id="179" w:name="OLE_LINK74"/>
            <w:r>
              <w:t>[W/m</w:t>
            </w:r>
            <w:r>
              <w:rPr>
                <w:vertAlign w:val="superscript"/>
              </w:rPr>
              <w:t>2</w:t>
            </w:r>
            <w:r>
              <w:t>]</w:t>
            </w:r>
            <w:bookmarkEnd w:id="178"/>
            <w:bookmarkEnd w:id="179"/>
          </w:p>
        </w:tc>
        <w:tc>
          <w:tcPr>
            <w:tcW w:w="3114" w:type="dxa"/>
          </w:tcPr>
          <w:p w14:paraId="0CE85335" w14:textId="77777777" w:rsidR="00DB15E9" w:rsidRDefault="0078312E">
            <w:pPr>
              <w:pStyle w:val="ESSPTableText"/>
            </w:pPr>
            <w:r>
              <w:t xml:space="preserve">Earth IR </w:t>
            </w:r>
            <w:r>
              <w:rPr>
                <w:sz w:val="18"/>
              </w:rPr>
              <w:t xml:space="preserve">(Long Wave) </w:t>
            </w:r>
            <w:r>
              <w:t>[W/m</w:t>
            </w:r>
            <w:r>
              <w:rPr>
                <w:vertAlign w:val="superscript"/>
              </w:rPr>
              <w:t>2</w:t>
            </w:r>
            <w:r>
              <w:t>]</w:t>
            </w:r>
          </w:p>
        </w:tc>
        <w:tc>
          <w:tcPr>
            <w:tcW w:w="2394" w:type="dxa"/>
          </w:tcPr>
          <w:p w14:paraId="47CCCBBB" w14:textId="77777777" w:rsidR="00DB15E9" w:rsidRDefault="0078312E">
            <w:pPr>
              <w:pStyle w:val="ESSPTableText"/>
            </w:pPr>
            <w:r>
              <w:t>Earth Albedo</w:t>
            </w:r>
          </w:p>
        </w:tc>
      </w:tr>
      <w:tr w:rsidR="00DB15E9" w14:paraId="7084BD60" w14:textId="77777777" w:rsidTr="00DB15E9">
        <w:trPr>
          <w:trHeight w:val="60"/>
        </w:trPr>
        <w:tc>
          <w:tcPr>
            <w:tcW w:w="1638" w:type="dxa"/>
          </w:tcPr>
          <w:p w14:paraId="0F8E91B4" w14:textId="77777777" w:rsidR="00DB15E9" w:rsidRDefault="0078312E">
            <w:pPr>
              <w:pStyle w:val="ESSPTableText"/>
            </w:pPr>
            <w:r>
              <w:t>LEO</w:t>
            </w:r>
          </w:p>
        </w:tc>
        <w:tc>
          <w:tcPr>
            <w:tcW w:w="2430" w:type="dxa"/>
            <w:vAlign w:val="center"/>
          </w:tcPr>
          <w:p w14:paraId="6B784E40" w14:textId="77777777" w:rsidR="00DB15E9" w:rsidRDefault="0078312E">
            <w:pPr>
              <w:pStyle w:val="ESSPTableText"/>
            </w:pPr>
            <w:r>
              <w:t>1290 to 1420</w:t>
            </w:r>
          </w:p>
        </w:tc>
        <w:tc>
          <w:tcPr>
            <w:tcW w:w="3114" w:type="dxa"/>
          </w:tcPr>
          <w:p w14:paraId="015EDF5F" w14:textId="77777777" w:rsidR="00DB15E9" w:rsidRDefault="0078312E">
            <w:pPr>
              <w:pStyle w:val="ESSPTableText"/>
            </w:pPr>
            <w:r>
              <w:t>222 to 233</w:t>
            </w:r>
          </w:p>
        </w:tc>
        <w:tc>
          <w:tcPr>
            <w:tcW w:w="2394" w:type="dxa"/>
          </w:tcPr>
          <w:p w14:paraId="2FABE534" w14:textId="77777777" w:rsidR="00DB15E9" w:rsidRDefault="0078312E">
            <w:pPr>
              <w:pStyle w:val="ESSPTableText"/>
            </w:pPr>
            <w:r>
              <w:t>0.275 to 0.375</w:t>
            </w:r>
          </w:p>
        </w:tc>
      </w:tr>
    </w:tbl>
    <w:p w14:paraId="2F620E24" w14:textId="77777777" w:rsidR="00DB15E9" w:rsidRDefault="0078312E">
      <w:pPr>
        <w:pStyle w:val="ESSPBodyText"/>
      </w:pPr>
      <w:r>
        <w:t>Rationale: The Instrument must be able to withstand conditions typical of the on-orbit environment without suffering degraded performance, damage, or inducing degraded performance of or damage to the Host Spacecraft or other payloads.</w:t>
      </w:r>
      <w:r>
        <w:rPr>
          <w:rFonts w:asciiTheme="majorHAnsi" w:hAnsiTheme="majorHAnsi" w:cstheme="majorHAnsi"/>
        </w:rPr>
        <w:t xml:space="preserve"> </w:t>
      </w:r>
      <w:r>
        <w:t>The Host Spacecraft Manufacturer will document the expected Free Molecular Heating rate seen by the exposed surface of the payload during the launch ascent in the TICD.</w:t>
      </w:r>
      <w:r>
        <w:rPr>
          <w:rFonts w:asciiTheme="majorHAnsi" w:hAnsiTheme="majorHAnsi" w:cstheme="majorHAnsi"/>
        </w:rPr>
        <w:t xml:space="preserve"> </w:t>
      </w:r>
      <w:r>
        <w:rPr>
          <w:color w:val="000000"/>
        </w:rPr>
        <w:t>This guidance defines the solar flux over the entire spectrum. In the UV portion of the spectrum (λ ≤ 300 nm), the solar flux is approximately 118 W/m</w:t>
      </w:r>
      <w:r>
        <w:rPr>
          <w:color w:val="000000"/>
          <w:vertAlign w:val="superscript"/>
        </w:rPr>
        <w:t>2</w:t>
      </w:r>
      <w:r>
        <w:rPr>
          <w:color w:val="000000"/>
        </w:rPr>
        <w:t xml:space="preserve"> and the integrated photon flux is approximately 2.28 </w:t>
      </w:r>
      <w:r>
        <w:rPr>
          <w:color w:val="000000"/>
        </w:rPr>
        <w:sym w:font="Symbol" w:char="F0B4"/>
      </w:r>
      <w:r>
        <w:rPr>
          <w:color w:val="000000"/>
        </w:rPr>
        <w:t xml:space="preserve"> 10</w:t>
      </w:r>
      <w:r>
        <w:rPr>
          <w:color w:val="000000"/>
          <w:vertAlign w:val="superscript"/>
        </w:rPr>
        <w:t>15</w:t>
      </w:r>
      <w:r>
        <w:rPr>
          <w:color w:val="000000"/>
        </w:rPr>
        <w:t xml:space="preserve"> photons/cm/sec. Reference NASA TM4527 for additional detail regarding the UV spectrum and associated photon flux.</w:t>
      </w:r>
    </w:p>
    <w:p w14:paraId="5FC5397E" w14:textId="77777777" w:rsidR="00DB15E9" w:rsidRDefault="0078312E">
      <w:pPr>
        <w:pStyle w:val="Heading4"/>
      </w:pPr>
      <w:bookmarkStart w:id="180" w:name="_Toc296083665"/>
      <w:bookmarkStart w:id="181" w:name="_Toc298054702"/>
      <w:bookmarkStart w:id="182" w:name="_Toc471910814"/>
      <w:r>
        <w:t>Radiation Design Margin</w:t>
      </w:r>
      <w:bookmarkEnd w:id="180"/>
      <w:bookmarkEnd w:id="181"/>
      <w:bookmarkEnd w:id="182"/>
    </w:p>
    <w:p w14:paraId="2C3B7C61" w14:textId="77777777" w:rsidR="00DB15E9" w:rsidRDefault="0078312E">
      <w:pPr>
        <w:pStyle w:val="Requirement"/>
      </w:pPr>
      <w:r>
        <w:t>Every hardware component of the Instrument should have a minimum RDM value of two.</w:t>
      </w:r>
    </w:p>
    <w:p w14:paraId="011F5468" w14:textId="77777777" w:rsidR="00DB15E9" w:rsidRDefault="0078312E">
      <w:pPr>
        <w:pStyle w:val="ESSPBodyText"/>
      </w:pPr>
      <w:r>
        <w:t>Rationale: Exposure to radiation degrades many materials and will require mitigation to assure full instrument function over the design mission lifetime.</w:t>
      </w:r>
      <w:r>
        <w:rPr>
          <w:color w:val="000000"/>
        </w:rPr>
        <w:t xml:space="preserve"> </w:t>
      </w:r>
      <w:r>
        <w:t>This guidance defines the need to carry 100% margin against the estimated amount of radiation exposure that will be experienced in Earth orbit in support of said mitigation.</w:t>
      </w:r>
    </w:p>
    <w:p w14:paraId="29F5D1FB" w14:textId="77777777" w:rsidR="00DB15E9" w:rsidRDefault="0078312E">
      <w:pPr>
        <w:pStyle w:val="ESSPBodyText"/>
      </w:pPr>
      <w:r>
        <w:t>A Radiation Design Margin (RDM) for a given electronic part (with respect to a given radiation environment) is defined as the ratio of that part’s capability (with respect to that environment and its circuit application) to the environment level at the part’s location.</w:t>
      </w:r>
      <w:r>
        <w:rPr>
          <w:color w:val="000000"/>
        </w:rPr>
        <w:t xml:space="preserve"> </w:t>
      </w:r>
    </w:p>
    <w:p w14:paraId="56854680" w14:textId="77777777" w:rsidR="00DB15E9" w:rsidRDefault="0078312E">
      <w:pPr>
        <w:pStyle w:val="Heading4"/>
      </w:pPr>
      <w:bookmarkStart w:id="183" w:name="_Toc471910815"/>
      <w:r>
        <w:lastRenderedPageBreak/>
        <w:t>Total Ionizing Dose</w:t>
      </w:r>
      <w:bookmarkEnd w:id="183"/>
    </w:p>
    <w:p w14:paraId="51EE8A4E" w14:textId="77777777" w:rsidR="00DB15E9" w:rsidRDefault="0078312E">
      <w:pPr>
        <w:pStyle w:val="Requirement"/>
      </w:pPr>
      <w:r>
        <w:t>The Instrument should function according to its operational specifications during and after exposure to the Total Ionizing Dose (TID) radiation environment based upon the specified mission orbit over the specified mission lifetime.</w:t>
      </w:r>
    </w:p>
    <w:p w14:paraId="473CC6C6" w14:textId="77777777" w:rsidR="00DB15E9" w:rsidRDefault="0078312E">
      <w:pPr>
        <w:pStyle w:val="ESSPBodyText"/>
      </w:pPr>
      <w:bookmarkStart w:id="184" w:name="OLE_LINK51"/>
      <w:bookmarkStart w:id="185" w:name="OLE_LINK52"/>
      <w:r>
        <w:rPr>
          <w:rStyle w:val="ESSPBodyTextChar"/>
        </w:rPr>
        <w:t>Table 2-10</w:t>
      </w:r>
      <w:r>
        <w:t xml:space="preserve"> shows the expected total ionizing dose for an object in an 813 km, sun-synchronous orbit, over the span of two years, while shielded by an aluminum spherical shell of a given thickness. </w:t>
      </w:r>
      <w:r>
        <w:rPr>
          <w:rStyle w:val="ESSPBodyTextChar"/>
        </w:rPr>
        <w:t>Figure 2-7</w:t>
      </w:r>
      <w:r>
        <w:t xml:space="preserve"> plots the same data in graphical form.</w:t>
      </w:r>
      <w:r>
        <w:rPr>
          <w:color w:val="000000"/>
        </w:rPr>
        <w:t xml:space="preserve"> </w:t>
      </w:r>
      <w:r>
        <w:t>The data contain no margin or uncertainty factors.</w:t>
      </w:r>
      <w:r>
        <w:rPr>
          <w:color w:val="000000"/>
        </w:rPr>
        <w:t xml:space="preserve"> </w:t>
      </w:r>
    </w:p>
    <w:p w14:paraId="01A27E1D" w14:textId="77777777" w:rsidR="00DB15E9" w:rsidRDefault="0078312E">
      <w:pPr>
        <w:pStyle w:val="ESSPFigure"/>
        <w:rPr>
          <w:rFonts w:ascii="Helvetica" w:hAnsi="Helvetica"/>
          <w:noProof w:val="0"/>
        </w:rPr>
      </w:pPr>
      <w:r>
        <w:rPr>
          <w:rFonts w:ascii="Helvetica" w:hAnsi="Helvetica"/>
        </w:rPr>
        <w:drawing>
          <wp:inline distT="0" distB="0" distL="0" distR="0" wp14:anchorId="19C6E147" wp14:editId="7DBD3383">
            <wp:extent cx="5943600" cy="472884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28845"/>
                    </a:xfrm>
                    <a:prstGeom prst="rect">
                      <a:avLst/>
                    </a:prstGeom>
                    <a:noFill/>
                    <a:ln>
                      <a:noFill/>
                    </a:ln>
                  </pic:spPr>
                </pic:pic>
              </a:graphicData>
            </a:graphic>
          </wp:inline>
        </w:drawing>
      </w:r>
    </w:p>
    <w:p w14:paraId="51CCCC64" w14:textId="77777777" w:rsidR="00DB15E9" w:rsidRDefault="0078312E">
      <w:pPr>
        <w:pStyle w:val="ESSPFigureCaption"/>
        <w:rPr>
          <w:rFonts w:ascii="Helvetica" w:hAnsi="Helvetica"/>
        </w:rPr>
      </w:pPr>
      <w:bookmarkStart w:id="186" w:name="_Toc331171798"/>
      <w:bookmarkStart w:id="187" w:name="_Ref221329680"/>
      <w:bookmarkStart w:id="188" w:name="_Toc471971588"/>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7</w:t>
      </w:r>
      <w:r>
        <w:rPr>
          <w:rFonts w:ascii="Helvetica" w:hAnsi="Helvetica"/>
        </w:rPr>
        <w:fldChar w:fldCharType="end"/>
      </w:r>
      <w:r>
        <w:rPr>
          <w:rFonts w:ascii="Helvetica" w:hAnsi="Helvetica"/>
        </w:rPr>
        <w:t>: [LEO] TID versus Shielding Thickness</w:t>
      </w:r>
      <w:bookmarkEnd w:id="186"/>
      <w:bookmarkEnd w:id="187"/>
      <w:bookmarkEnd w:id="188"/>
    </w:p>
    <w:p w14:paraId="38C9F877" w14:textId="77777777" w:rsidR="00DB15E9" w:rsidRDefault="0078312E">
      <w:pPr>
        <w:tabs>
          <w:tab w:val="clear" w:pos="1440"/>
          <w:tab w:val="clear" w:pos="4140"/>
          <w:tab w:val="clear" w:pos="7920"/>
        </w:tabs>
        <w:spacing w:after="0"/>
        <w:rPr>
          <w:rFonts w:ascii="Helvetica" w:hAnsi="Helvetica"/>
          <w:b/>
          <w:bCs/>
          <w:sz w:val="22"/>
          <w:szCs w:val="20"/>
        </w:rPr>
      </w:pPr>
      <w:bookmarkStart w:id="189" w:name="_Toc331171779"/>
      <w:bookmarkEnd w:id="184"/>
      <w:bookmarkEnd w:id="185"/>
      <w:r>
        <w:br w:type="page"/>
      </w:r>
    </w:p>
    <w:p w14:paraId="374DADE5" w14:textId="77777777" w:rsidR="00DB15E9" w:rsidRDefault="0078312E">
      <w:pPr>
        <w:pStyle w:val="ESSPTableCaption"/>
      </w:pPr>
      <w:bookmarkStart w:id="190" w:name="_Toc471971558"/>
      <w:r>
        <w:lastRenderedPageBreak/>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10</w:t>
      </w:r>
      <w:r w:rsidR="00BA5284">
        <w:rPr>
          <w:noProof/>
        </w:rPr>
        <w:fldChar w:fldCharType="end"/>
      </w:r>
      <w:r>
        <w:t>: [LEO] Total Ionizing Dose Radiation Environment</w:t>
      </w:r>
      <w:bookmarkEnd w:id="189"/>
      <w:bookmarkEnd w:id="190"/>
    </w:p>
    <w:tbl>
      <w:tblPr>
        <w:tblStyle w:val="TableGrid8"/>
        <w:tblW w:w="0" w:type="auto"/>
        <w:tblLook w:val="04A0" w:firstRow="1" w:lastRow="0" w:firstColumn="1" w:lastColumn="0" w:noHBand="0" w:noVBand="1"/>
      </w:tblPr>
      <w:tblGrid>
        <w:gridCol w:w="1390"/>
        <w:gridCol w:w="1310"/>
        <w:gridCol w:w="2057"/>
        <w:gridCol w:w="1251"/>
        <w:gridCol w:w="1251"/>
        <w:gridCol w:w="1251"/>
      </w:tblGrid>
      <w:tr w:rsidR="00DB15E9" w14:paraId="761DC472" w14:textId="77777777" w:rsidTr="00DB15E9">
        <w:trPr>
          <w:cnfStyle w:val="100000000000" w:firstRow="1" w:lastRow="0" w:firstColumn="0" w:lastColumn="0" w:oddVBand="0" w:evenVBand="0" w:oddHBand="0" w:evenHBand="0" w:firstRowFirstColumn="0" w:firstRowLastColumn="0" w:lastRowFirstColumn="0" w:lastRowLastColumn="0"/>
          <w:trHeight w:val="870"/>
        </w:trPr>
        <w:tc>
          <w:tcPr>
            <w:tcW w:w="1390" w:type="dxa"/>
            <w:vAlign w:val="bottom"/>
            <w:hideMark/>
          </w:tcPr>
          <w:p w14:paraId="3A14FAAA" w14:textId="77777777" w:rsidR="00DB15E9" w:rsidRDefault="0078312E">
            <w:pPr>
              <w:pStyle w:val="ESSPFigure"/>
              <w:keepNext w:val="0"/>
              <w:rPr>
                <w:rFonts w:ascii="Helvetica" w:hAnsi="Helvetica"/>
                <w:b w:val="0"/>
                <w:bCs w:val="0"/>
                <w:noProof w:val="0"/>
              </w:rPr>
            </w:pPr>
            <w:r>
              <w:rPr>
                <w:rFonts w:ascii="Helvetica" w:hAnsi="Helvetica"/>
                <w:noProof w:val="0"/>
              </w:rPr>
              <w:t>Shield Thickness</w:t>
            </w:r>
          </w:p>
          <w:p w14:paraId="51E128BE" w14:textId="77777777" w:rsidR="00DB15E9" w:rsidRDefault="0078312E">
            <w:pPr>
              <w:pStyle w:val="ESSPFigure"/>
              <w:keepNext w:val="0"/>
              <w:rPr>
                <w:rFonts w:ascii="Helvetica" w:hAnsi="Helvetica"/>
                <w:noProof w:val="0"/>
              </w:rPr>
            </w:pPr>
            <w:r>
              <w:rPr>
                <w:rFonts w:ascii="Helvetica" w:hAnsi="Helvetica"/>
                <w:noProof w:val="0"/>
              </w:rPr>
              <w:t>[mil]</w:t>
            </w:r>
          </w:p>
        </w:tc>
        <w:tc>
          <w:tcPr>
            <w:tcW w:w="1310" w:type="dxa"/>
            <w:vAlign w:val="bottom"/>
            <w:hideMark/>
          </w:tcPr>
          <w:p w14:paraId="45E4EAD2" w14:textId="77777777" w:rsidR="00DB15E9" w:rsidRDefault="0078312E">
            <w:pPr>
              <w:pStyle w:val="ESSPFigure"/>
              <w:keepNext w:val="0"/>
              <w:rPr>
                <w:rFonts w:ascii="Helvetica" w:hAnsi="Helvetica"/>
                <w:b w:val="0"/>
                <w:bCs w:val="0"/>
                <w:noProof w:val="0"/>
              </w:rPr>
            </w:pPr>
            <w:r>
              <w:rPr>
                <w:rFonts w:ascii="Helvetica" w:hAnsi="Helvetica"/>
                <w:noProof w:val="0"/>
              </w:rPr>
              <w:t>Trapped Electrons</w:t>
            </w:r>
          </w:p>
          <w:p w14:paraId="7A116668" w14:textId="77777777" w:rsidR="00DB15E9" w:rsidRDefault="0078312E">
            <w:pPr>
              <w:pStyle w:val="ESSPFigure"/>
              <w:keepNext w:val="0"/>
              <w:rPr>
                <w:rFonts w:ascii="Helvetica" w:hAnsi="Helvetica"/>
                <w:noProof w:val="0"/>
              </w:rPr>
            </w:pPr>
            <w:r>
              <w:rPr>
                <w:rFonts w:ascii="Helvetica" w:hAnsi="Helvetica"/>
                <w:noProof w:val="0"/>
              </w:rPr>
              <w:t>Rad [Si]</w:t>
            </w:r>
          </w:p>
        </w:tc>
        <w:tc>
          <w:tcPr>
            <w:tcW w:w="2057" w:type="dxa"/>
            <w:noWrap/>
            <w:vAlign w:val="bottom"/>
            <w:hideMark/>
          </w:tcPr>
          <w:p w14:paraId="0892A81C" w14:textId="77777777" w:rsidR="00DB15E9" w:rsidRDefault="0078312E">
            <w:pPr>
              <w:pStyle w:val="ESSPFigure"/>
              <w:keepNext w:val="0"/>
              <w:rPr>
                <w:rFonts w:ascii="Helvetica" w:hAnsi="Helvetica"/>
                <w:b w:val="0"/>
                <w:bCs w:val="0"/>
                <w:noProof w:val="0"/>
              </w:rPr>
            </w:pPr>
            <w:r>
              <w:rPr>
                <w:rFonts w:ascii="Helvetica" w:hAnsi="Helvetica"/>
                <w:noProof w:val="0"/>
              </w:rPr>
              <w:t>Bremsstrahlung</w:t>
            </w:r>
          </w:p>
          <w:p w14:paraId="7D47E541" w14:textId="77777777" w:rsidR="00DB15E9" w:rsidRDefault="0078312E">
            <w:pPr>
              <w:pStyle w:val="ESSPFigure"/>
              <w:keepNext w:val="0"/>
              <w:rPr>
                <w:rFonts w:ascii="Helvetica" w:hAnsi="Helvetica"/>
                <w:noProof w:val="0"/>
              </w:rPr>
            </w:pPr>
            <w:r>
              <w:rPr>
                <w:rFonts w:ascii="Helvetica" w:hAnsi="Helvetica"/>
                <w:noProof w:val="0"/>
              </w:rPr>
              <w:t>Rad [Si]</w:t>
            </w:r>
          </w:p>
        </w:tc>
        <w:tc>
          <w:tcPr>
            <w:tcW w:w="1251" w:type="dxa"/>
            <w:vAlign w:val="bottom"/>
            <w:hideMark/>
          </w:tcPr>
          <w:p w14:paraId="4A32D976" w14:textId="77777777" w:rsidR="00DB15E9" w:rsidRDefault="0078312E">
            <w:pPr>
              <w:pStyle w:val="ESSPFigure"/>
              <w:keepNext w:val="0"/>
              <w:rPr>
                <w:rFonts w:ascii="Helvetica" w:hAnsi="Helvetica"/>
                <w:b w:val="0"/>
                <w:bCs w:val="0"/>
                <w:noProof w:val="0"/>
              </w:rPr>
            </w:pPr>
            <w:r>
              <w:rPr>
                <w:rFonts w:ascii="Helvetica" w:hAnsi="Helvetica"/>
                <w:noProof w:val="0"/>
              </w:rPr>
              <w:t>Trapped Protons</w:t>
            </w:r>
          </w:p>
          <w:p w14:paraId="1BCD5E9C" w14:textId="77777777" w:rsidR="00DB15E9" w:rsidRDefault="0078312E">
            <w:pPr>
              <w:pStyle w:val="ESSPFigure"/>
              <w:keepNext w:val="0"/>
              <w:rPr>
                <w:rFonts w:ascii="Helvetica" w:hAnsi="Helvetica"/>
                <w:noProof w:val="0"/>
              </w:rPr>
            </w:pPr>
            <w:r>
              <w:rPr>
                <w:rFonts w:ascii="Helvetica" w:hAnsi="Helvetica"/>
                <w:noProof w:val="0"/>
              </w:rPr>
              <w:t>Rad [Si]</w:t>
            </w:r>
          </w:p>
        </w:tc>
        <w:tc>
          <w:tcPr>
            <w:tcW w:w="1251" w:type="dxa"/>
            <w:vAlign w:val="bottom"/>
            <w:hideMark/>
          </w:tcPr>
          <w:p w14:paraId="30B338E0" w14:textId="77777777" w:rsidR="00DB15E9" w:rsidRDefault="0078312E">
            <w:pPr>
              <w:pStyle w:val="ESSPFigure"/>
              <w:keepNext w:val="0"/>
              <w:rPr>
                <w:rFonts w:ascii="Helvetica" w:hAnsi="Helvetica"/>
                <w:b w:val="0"/>
                <w:bCs w:val="0"/>
                <w:noProof w:val="0"/>
              </w:rPr>
            </w:pPr>
            <w:r>
              <w:rPr>
                <w:rFonts w:ascii="Helvetica" w:hAnsi="Helvetica"/>
                <w:noProof w:val="0"/>
              </w:rPr>
              <w:t>Solar Protons</w:t>
            </w:r>
          </w:p>
          <w:p w14:paraId="6699B7AC" w14:textId="77777777" w:rsidR="00DB15E9" w:rsidRDefault="0078312E">
            <w:pPr>
              <w:pStyle w:val="ESSPFigure"/>
              <w:keepNext w:val="0"/>
              <w:rPr>
                <w:rFonts w:ascii="Helvetica" w:hAnsi="Helvetica"/>
                <w:noProof w:val="0"/>
              </w:rPr>
            </w:pPr>
            <w:r>
              <w:rPr>
                <w:rFonts w:ascii="Helvetica" w:hAnsi="Helvetica"/>
                <w:noProof w:val="0"/>
              </w:rPr>
              <w:t>Rad [Si]</w:t>
            </w:r>
          </w:p>
        </w:tc>
        <w:tc>
          <w:tcPr>
            <w:tcW w:w="1251" w:type="dxa"/>
            <w:noWrap/>
            <w:vAlign w:val="bottom"/>
            <w:hideMark/>
          </w:tcPr>
          <w:p w14:paraId="32283A92" w14:textId="77777777" w:rsidR="00DB15E9" w:rsidRDefault="0078312E">
            <w:pPr>
              <w:pStyle w:val="ESSPFigure"/>
              <w:keepNext w:val="0"/>
              <w:rPr>
                <w:rFonts w:ascii="Helvetica" w:hAnsi="Helvetica"/>
                <w:b w:val="0"/>
                <w:bCs w:val="0"/>
                <w:noProof w:val="0"/>
              </w:rPr>
            </w:pPr>
            <w:r>
              <w:rPr>
                <w:rFonts w:ascii="Helvetica" w:hAnsi="Helvetica"/>
                <w:noProof w:val="0"/>
              </w:rPr>
              <w:t>Total</w:t>
            </w:r>
          </w:p>
          <w:p w14:paraId="4C5BBAE5" w14:textId="77777777" w:rsidR="00DB15E9" w:rsidRDefault="0078312E">
            <w:pPr>
              <w:pStyle w:val="ESSPFigure"/>
              <w:keepNext w:val="0"/>
              <w:rPr>
                <w:rFonts w:ascii="Helvetica" w:hAnsi="Helvetica"/>
                <w:noProof w:val="0"/>
              </w:rPr>
            </w:pPr>
            <w:r>
              <w:rPr>
                <w:rFonts w:ascii="Helvetica" w:hAnsi="Helvetica"/>
                <w:noProof w:val="0"/>
              </w:rPr>
              <w:t>Rad [Si]</w:t>
            </w:r>
          </w:p>
        </w:tc>
      </w:tr>
      <w:tr w:rsidR="00DB15E9" w14:paraId="59CD20BA" w14:textId="77777777" w:rsidTr="00DB15E9">
        <w:trPr>
          <w:trHeight w:val="300"/>
        </w:trPr>
        <w:tc>
          <w:tcPr>
            <w:tcW w:w="1390" w:type="dxa"/>
            <w:hideMark/>
          </w:tcPr>
          <w:p w14:paraId="6F0640C6" w14:textId="77777777" w:rsidR="00DB15E9" w:rsidRDefault="0078312E">
            <w:pPr>
              <w:pStyle w:val="ESSPFigure"/>
              <w:keepNext w:val="0"/>
              <w:rPr>
                <w:rFonts w:ascii="Helvetica" w:hAnsi="Helvetica"/>
                <w:noProof w:val="0"/>
              </w:rPr>
            </w:pPr>
            <w:r>
              <w:rPr>
                <w:rFonts w:ascii="Helvetica" w:hAnsi="Helvetica"/>
                <w:noProof w:val="0"/>
              </w:rPr>
              <w:t>1</w:t>
            </w:r>
          </w:p>
        </w:tc>
        <w:tc>
          <w:tcPr>
            <w:tcW w:w="1310" w:type="dxa"/>
            <w:hideMark/>
          </w:tcPr>
          <w:p w14:paraId="5DEFD367" w14:textId="77777777" w:rsidR="00DB15E9" w:rsidRDefault="0078312E">
            <w:pPr>
              <w:pStyle w:val="ESSPFigure"/>
              <w:keepNext w:val="0"/>
              <w:rPr>
                <w:rFonts w:ascii="Helvetica" w:hAnsi="Helvetica"/>
                <w:noProof w:val="0"/>
              </w:rPr>
            </w:pPr>
            <w:r>
              <w:rPr>
                <w:rFonts w:ascii="Helvetica" w:hAnsi="Helvetica"/>
                <w:noProof w:val="0"/>
              </w:rPr>
              <w:t>1.09E+06</w:t>
            </w:r>
          </w:p>
        </w:tc>
        <w:tc>
          <w:tcPr>
            <w:tcW w:w="2057" w:type="dxa"/>
            <w:hideMark/>
          </w:tcPr>
          <w:p w14:paraId="548E10C6" w14:textId="77777777" w:rsidR="00DB15E9" w:rsidRDefault="0078312E">
            <w:pPr>
              <w:pStyle w:val="ESSPFigure"/>
              <w:keepNext w:val="0"/>
              <w:rPr>
                <w:rFonts w:ascii="Helvetica" w:hAnsi="Helvetica"/>
                <w:noProof w:val="0"/>
              </w:rPr>
            </w:pPr>
            <w:r>
              <w:rPr>
                <w:rFonts w:ascii="Helvetica" w:hAnsi="Helvetica"/>
                <w:noProof w:val="0"/>
              </w:rPr>
              <w:t>1.84E+03</w:t>
            </w:r>
          </w:p>
        </w:tc>
        <w:tc>
          <w:tcPr>
            <w:tcW w:w="1251" w:type="dxa"/>
            <w:hideMark/>
          </w:tcPr>
          <w:p w14:paraId="69266D85" w14:textId="77777777" w:rsidR="00DB15E9" w:rsidRDefault="0078312E">
            <w:pPr>
              <w:pStyle w:val="ESSPFigure"/>
              <w:keepNext w:val="0"/>
              <w:rPr>
                <w:rFonts w:ascii="Helvetica" w:hAnsi="Helvetica"/>
                <w:noProof w:val="0"/>
              </w:rPr>
            </w:pPr>
            <w:r>
              <w:rPr>
                <w:rFonts w:ascii="Helvetica" w:hAnsi="Helvetica"/>
                <w:noProof w:val="0"/>
              </w:rPr>
              <w:t>5.24E+04</w:t>
            </w:r>
          </w:p>
        </w:tc>
        <w:tc>
          <w:tcPr>
            <w:tcW w:w="1251" w:type="dxa"/>
            <w:hideMark/>
          </w:tcPr>
          <w:p w14:paraId="02446F3F" w14:textId="77777777" w:rsidR="00DB15E9" w:rsidRDefault="0078312E">
            <w:pPr>
              <w:pStyle w:val="ESSPFigure"/>
              <w:keepNext w:val="0"/>
              <w:rPr>
                <w:rFonts w:ascii="Helvetica" w:hAnsi="Helvetica"/>
                <w:noProof w:val="0"/>
              </w:rPr>
            </w:pPr>
            <w:r>
              <w:rPr>
                <w:rFonts w:ascii="Helvetica" w:hAnsi="Helvetica"/>
                <w:noProof w:val="0"/>
              </w:rPr>
              <w:t>6.52E+04</w:t>
            </w:r>
          </w:p>
        </w:tc>
        <w:tc>
          <w:tcPr>
            <w:tcW w:w="1251" w:type="dxa"/>
            <w:hideMark/>
          </w:tcPr>
          <w:p w14:paraId="166C74E5" w14:textId="77777777" w:rsidR="00DB15E9" w:rsidRDefault="0078312E">
            <w:pPr>
              <w:pStyle w:val="ESSPFigure"/>
              <w:keepNext w:val="0"/>
              <w:rPr>
                <w:rFonts w:ascii="Helvetica" w:hAnsi="Helvetica"/>
                <w:noProof w:val="0"/>
              </w:rPr>
            </w:pPr>
            <w:r>
              <w:rPr>
                <w:rFonts w:ascii="Helvetica" w:hAnsi="Helvetica"/>
                <w:noProof w:val="0"/>
              </w:rPr>
              <w:t>1.21E+06</w:t>
            </w:r>
          </w:p>
        </w:tc>
      </w:tr>
      <w:tr w:rsidR="00DB15E9" w14:paraId="45361E01" w14:textId="77777777" w:rsidTr="00DB15E9">
        <w:trPr>
          <w:trHeight w:val="300"/>
        </w:trPr>
        <w:tc>
          <w:tcPr>
            <w:tcW w:w="1390" w:type="dxa"/>
            <w:hideMark/>
          </w:tcPr>
          <w:p w14:paraId="2D6D5E82" w14:textId="77777777" w:rsidR="00DB15E9" w:rsidRDefault="0078312E">
            <w:pPr>
              <w:pStyle w:val="ESSPFigure"/>
              <w:keepNext w:val="0"/>
              <w:rPr>
                <w:rFonts w:ascii="Helvetica" w:hAnsi="Helvetica"/>
                <w:noProof w:val="0"/>
              </w:rPr>
            </w:pPr>
            <w:r>
              <w:rPr>
                <w:rFonts w:ascii="Helvetica" w:hAnsi="Helvetica"/>
                <w:noProof w:val="0"/>
              </w:rPr>
              <w:t>3</w:t>
            </w:r>
          </w:p>
        </w:tc>
        <w:tc>
          <w:tcPr>
            <w:tcW w:w="1310" w:type="dxa"/>
            <w:hideMark/>
          </w:tcPr>
          <w:p w14:paraId="57CF5A05" w14:textId="77777777" w:rsidR="00DB15E9" w:rsidRDefault="0078312E">
            <w:pPr>
              <w:pStyle w:val="ESSPFigure"/>
              <w:keepNext w:val="0"/>
              <w:rPr>
                <w:rFonts w:ascii="Helvetica" w:hAnsi="Helvetica"/>
                <w:noProof w:val="0"/>
              </w:rPr>
            </w:pPr>
            <w:r>
              <w:rPr>
                <w:rFonts w:ascii="Helvetica" w:hAnsi="Helvetica"/>
                <w:noProof w:val="0"/>
              </w:rPr>
              <w:t>5.23E+05</w:t>
            </w:r>
          </w:p>
        </w:tc>
        <w:tc>
          <w:tcPr>
            <w:tcW w:w="2057" w:type="dxa"/>
            <w:hideMark/>
          </w:tcPr>
          <w:p w14:paraId="48BD65E1" w14:textId="77777777" w:rsidR="00DB15E9" w:rsidRDefault="0078312E">
            <w:pPr>
              <w:pStyle w:val="ESSPFigure"/>
              <w:keepNext w:val="0"/>
              <w:rPr>
                <w:rFonts w:ascii="Helvetica" w:hAnsi="Helvetica"/>
                <w:noProof w:val="0"/>
              </w:rPr>
            </w:pPr>
            <w:r>
              <w:rPr>
                <w:rFonts w:ascii="Helvetica" w:hAnsi="Helvetica"/>
                <w:noProof w:val="0"/>
              </w:rPr>
              <w:t>1.03E+03</w:t>
            </w:r>
          </w:p>
        </w:tc>
        <w:tc>
          <w:tcPr>
            <w:tcW w:w="1251" w:type="dxa"/>
            <w:hideMark/>
          </w:tcPr>
          <w:p w14:paraId="24FA5071" w14:textId="77777777" w:rsidR="00DB15E9" w:rsidRDefault="0078312E">
            <w:pPr>
              <w:pStyle w:val="ESSPFigure"/>
              <w:keepNext w:val="0"/>
              <w:rPr>
                <w:rFonts w:ascii="Helvetica" w:hAnsi="Helvetica"/>
                <w:noProof w:val="0"/>
              </w:rPr>
            </w:pPr>
            <w:r>
              <w:rPr>
                <w:rFonts w:ascii="Helvetica" w:hAnsi="Helvetica"/>
                <w:noProof w:val="0"/>
              </w:rPr>
              <w:t>1.70E+04</w:t>
            </w:r>
          </w:p>
        </w:tc>
        <w:tc>
          <w:tcPr>
            <w:tcW w:w="1251" w:type="dxa"/>
            <w:hideMark/>
          </w:tcPr>
          <w:p w14:paraId="31ECC183" w14:textId="77777777" w:rsidR="00DB15E9" w:rsidRDefault="0078312E">
            <w:pPr>
              <w:pStyle w:val="ESSPFigure"/>
              <w:keepNext w:val="0"/>
              <w:rPr>
                <w:rFonts w:ascii="Helvetica" w:hAnsi="Helvetica"/>
                <w:noProof w:val="0"/>
              </w:rPr>
            </w:pPr>
            <w:r>
              <w:rPr>
                <w:rFonts w:ascii="Helvetica" w:hAnsi="Helvetica"/>
                <w:noProof w:val="0"/>
              </w:rPr>
              <w:t>2.81E+04</w:t>
            </w:r>
          </w:p>
        </w:tc>
        <w:tc>
          <w:tcPr>
            <w:tcW w:w="1251" w:type="dxa"/>
            <w:hideMark/>
          </w:tcPr>
          <w:p w14:paraId="62C89CD9" w14:textId="77777777" w:rsidR="00DB15E9" w:rsidRDefault="0078312E">
            <w:pPr>
              <w:pStyle w:val="ESSPFigure"/>
              <w:keepNext w:val="0"/>
              <w:rPr>
                <w:rFonts w:ascii="Helvetica" w:hAnsi="Helvetica"/>
                <w:noProof w:val="0"/>
              </w:rPr>
            </w:pPr>
            <w:r>
              <w:rPr>
                <w:rFonts w:ascii="Helvetica" w:hAnsi="Helvetica"/>
                <w:noProof w:val="0"/>
              </w:rPr>
              <w:t>5.69E+05</w:t>
            </w:r>
          </w:p>
        </w:tc>
      </w:tr>
      <w:tr w:rsidR="00DB15E9" w14:paraId="3C7667AD" w14:textId="77777777" w:rsidTr="00DB15E9">
        <w:trPr>
          <w:trHeight w:val="300"/>
        </w:trPr>
        <w:tc>
          <w:tcPr>
            <w:tcW w:w="1390" w:type="dxa"/>
            <w:hideMark/>
          </w:tcPr>
          <w:p w14:paraId="4829D8CA" w14:textId="77777777" w:rsidR="00DB15E9" w:rsidRDefault="0078312E">
            <w:pPr>
              <w:pStyle w:val="ESSPFigure"/>
              <w:keepNext w:val="0"/>
              <w:rPr>
                <w:rFonts w:ascii="Helvetica" w:hAnsi="Helvetica"/>
                <w:noProof w:val="0"/>
              </w:rPr>
            </w:pPr>
            <w:r>
              <w:rPr>
                <w:rFonts w:ascii="Helvetica" w:hAnsi="Helvetica"/>
                <w:noProof w:val="0"/>
              </w:rPr>
              <w:t>4</w:t>
            </w:r>
          </w:p>
        </w:tc>
        <w:tc>
          <w:tcPr>
            <w:tcW w:w="1310" w:type="dxa"/>
            <w:hideMark/>
          </w:tcPr>
          <w:p w14:paraId="086EA1B7" w14:textId="77777777" w:rsidR="00DB15E9" w:rsidRDefault="0078312E">
            <w:pPr>
              <w:pStyle w:val="ESSPFigure"/>
              <w:keepNext w:val="0"/>
              <w:rPr>
                <w:rFonts w:ascii="Helvetica" w:hAnsi="Helvetica"/>
                <w:noProof w:val="0"/>
              </w:rPr>
            </w:pPr>
            <w:r>
              <w:rPr>
                <w:rFonts w:ascii="Helvetica" w:hAnsi="Helvetica"/>
                <w:noProof w:val="0"/>
              </w:rPr>
              <w:t>3.99E+05</w:t>
            </w:r>
          </w:p>
        </w:tc>
        <w:tc>
          <w:tcPr>
            <w:tcW w:w="2057" w:type="dxa"/>
            <w:hideMark/>
          </w:tcPr>
          <w:p w14:paraId="173EA547" w14:textId="77777777" w:rsidR="00DB15E9" w:rsidRDefault="0078312E">
            <w:pPr>
              <w:pStyle w:val="ESSPFigure"/>
              <w:keepNext w:val="0"/>
              <w:rPr>
                <w:rFonts w:ascii="Helvetica" w:hAnsi="Helvetica"/>
                <w:noProof w:val="0"/>
              </w:rPr>
            </w:pPr>
            <w:r>
              <w:rPr>
                <w:rFonts w:ascii="Helvetica" w:hAnsi="Helvetica"/>
                <w:noProof w:val="0"/>
              </w:rPr>
              <w:t>8.30E+02</w:t>
            </w:r>
          </w:p>
        </w:tc>
        <w:tc>
          <w:tcPr>
            <w:tcW w:w="1251" w:type="dxa"/>
            <w:hideMark/>
          </w:tcPr>
          <w:p w14:paraId="59574652" w14:textId="77777777" w:rsidR="00DB15E9" w:rsidRDefault="0078312E">
            <w:pPr>
              <w:pStyle w:val="ESSPFigure"/>
              <w:keepNext w:val="0"/>
              <w:rPr>
                <w:rFonts w:ascii="Helvetica" w:hAnsi="Helvetica"/>
                <w:noProof w:val="0"/>
              </w:rPr>
            </w:pPr>
            <w:r>
              <w:rPr>
                <w:rFonts w:ascii="Helvetica" w:hAnsi="Helvetica"/>
                <w:noProof w:val="0"/>
              </w:rPr>
              <w:t>1.29E+04</w:t>
            </w:r>
          </w:p>
        </w:tc>
        <w:tc>
          <w:tcPr>
            <w:tcW w:w="1251" w:type="dxa"/>
            <w:hideMark/>
          </w:tcPr>
          <w:p w14:paraId="0431941B" w14:textId="77777777" w:rsidR="00DB15E9" w:rsidRDefault="0078312E">
            <w:pPr>
              <w:pStyle w:val="ESSPFigure"/>
              <w:keepNext w:val="0"/>
              <w:rPr>
                <w:rFonts w:ascii="Helvetica" w:hAnsi="Helvetica"/>
                <w:noProof w:val="0"/>
              </w:rPr>
            </w:pPr>
            <w:r>
              <w:rPr>
                <w:rFonts w:ascii="Helvetica" w:hAnsi="Helvetica"/>
                <w:noProof w:val="0"/>
              </w:rPr>
              <w:t>2.18E+04</w:t>
            </w:r>
          </w:p>
        </w:tc>
        <w:tc>
          <w:tcPr>
            <w:tcW w:w="1251" w:type="dxa"/>
            <w:hideMark/>
          </w:tcPr>
          <w:p w14:paraId="7D0B7AE4" w14:textId="77777777" w:rsidR="00DB15E9" w:rsidRDefault="0078312E">
            <w:pPr>
              <w:pStyle w:val="ESSPFigure"/>
              <w:keepNext w:val="0"/>
              <w:rPr>
                <w:rFonts w:ascii="Helvetica" w:hAnsi="Helvetica"/>
                <w:noProof w:val="0"/>
              </w:rPr>
            </w:pPr>
            <w:r>
              <w:rPr>
                <w:rFonts w:ascii="Helvetica" w:hAnsi="Helvetica"/>
                <w:noProof w:val="0"/>
              </w:rPr>
              <w:t>4.35E+05</w:t>
            </w:r>
          </w:p>
        </w:tc>
      </w:tr>
      <w:tr w:rsidR="00DB15E9" w14:paraId="1540347E" w14:textId="77777777" w:rsidTr="00DB15E9">
        <w:trPr>
          <w:trHeight w:val="300"/>
        </w:trPr>
        <w:tc>
          <w:tcPr>
            <w:tcW w:w="1390" w:type="dxa"/>
            <w:hideMark/>
          </w:tcPr>
          <w:p w14:paraId="25743296" w14:textId="77777777" w:rsidR="00DB15E9" w:rsidRDefault="0078312E">
            <w:pPr>
              <w:pStyle w:val="ESSPFigure"/>
              <w:keepNext w:val="0"/>
              <w:rPr>
                <w:rFonts w:ascii="Helvetica" w:hAnsi="Helvetica"/>
                <w:noProof w:val="0"/>
              </w:rPr>
            </w:pPr>
            <w:r>
              <w:rPr>
                <w:rFonts w:ascii="Helvetica" w:hAnsi="Helvetica"/>
                <w:noProof w:val="0"/>
              </w:rPr>
              <w:t>6</w:t>
            </w:r>
          </w:p>
        </w:tc>
        <w:tc>
          <w:tcPr>
            <w:tcW w:w="1310" w:type="dxa"/>
            <w:hideMark/>
          </w:tcPr>
          <w:p w14:paraId="75C57D0E" w14:textId="77777777" w:rsidR="00DB15E9" w:rsidRDefault="0078312E">
            <w:pPr>
              <w:pStyle w:val="ESSPFigure"/>
              <w:keepNext w:val="0"/>
              <w:rPr>
                <w:rFonts w:ascii="Helvetica" w:hAnsi="Helvetica"/>
                <w:noProof w:val="0"/>
              </w:rPr>
            </w:pPr>
            <w:r>
              <w:rPr>
                <w:rFonts w:ascii="Helvetica" w:hAnsi="Helvetica"/>
                <w:noProof w:val="0"/>
              </w:rPr>
              <w:t>2.44E+05</w:t>
            </w:r>
          </w:p>
        </w:tc>
        <w:tc>
          <w:tcPr>
            <w:tcW w:w="2057" w:type="dxa"/>
            <w:hideMark/>
          </w:tcPr>
          <w:p w14:paraId="345B76C0" w14:textId="77777777" w:rsidR="00DB15E9" w:rsidRDefault="0078312E">
            <w:pPr>
              <w:pStyle w:val="ESSPFigure"/>
              <w:keepNext w:val="0"/>
              <w:rPr>
                <w:rFonts w:ascii="Helvetica" w:hAnsi="Helvetica"/>
                <w:noProof w:val="0"/>
              </w:rPr>
            </w:pPr>
            <w:r>
              <w:rPr>
                <w:rFonts w:ascii="Helvetica" w:hAnsi="Helvetica"/>
                <w:noProof w:val="0"/>
              </w:rPr>
              <w:t>5.70E+02</w:t>
            </w:r>
          </w:p>
        </w:tc>
        <w:tc>
          <w:tcPr>
            <w:tcW w:w="1251" w:type="dxa"/>
            <w:hideMark/>
          </w:tcPr>
          <w:p w14:paraId="33E7768C" w14:textId="77777777" w:rsidR="00DB15E9" w:rsidRDefault="0078312E">
            <w:pPr>
              <w:pStyle w:val="ESSPFigure"/>
              <w:keepNext w:val="0"/>
              <w:rPr>
                <w:rFonts w:ascii="Helvetica" w:hAnsi="Helvetica"/>
                <w:noProof w:val="0"/>
              </w:rPr>
            </w:pPr>
            <w:r>
              <w:rPr>
                <w:rFonts w:ascii="Helvetica" w:hAnsi="Helvetica"/>
                <w:noProof w:val="0"/>
              </w:rPr>
              <w:t>8.86E+03</w:t>
            </w:r>
          </w:p>
        </w:tc>
        <w:tc>
          <w:tcPr>
            <w:tcW w:w="1251" w:type="dxa"/>
            <w:hideMark/>
          </w:tcPr>
          <w:p w14:paraId="51BBA7AF" w14:textId="77777777" w:rsidR="00DB15E9" w:rsidRDefault="0078312E">
            <w:pPr>
              <w:pStyle w:val="ESSPFigure"/>
              <w:keepNext w:val="0"/>
              <w:rPr>
                <w:rFonts w:ascii="Helvetica" w:hAnsi="Helvetica"/>
                <w:noProof w:val="0"/>
              </w:rPr>
            </w:pPr>
            <w:r>
              <w:rPr>
                <w:rFonts w:ascii="Helvetica" w:hAnsi="Helvetica"/>
                <w:noProof w:val="0"/>
              </w:rPr>
              <w:t>1.48E+04</w:t>
            </w:r>
          </w:p>
        </w:tc>
        <w:tc>
          <w:tcPr>
            <w:tcW w:w="1251" w:type="dxa"/>
            <w:hideMark/>
          </w:tcPr>
          <w:p w14:paraId="271CC1B6" w14:textId="77777777" w:rsidR="00DB15E9" w:rsidRDefault="0078312E">
            <w:pPr>
              <w:pStyle w:val="ESSPFigure"/>
              <w:keepNext w:val="0"/>
              <w:rPr>
                <w:rFonts w:ascii="Helvetica" w:hAnsi="Helvetica"/>
                <w:noProof w:val="0"/>
              </w:rPr>
            </w:pPr>
            <w:r>
              <w:rPr>
                <w:rFonts w:ascii="Helvetica" w:hAnsi="Helvetica"/>
                <w:noProof w:val="0"/>
              </w:rPr>
              <w:t>2.68E+05</w:t>
            </w:r>
          </w:p>
        </w:tc>
      </w:tr>
      <w:tr w:rsidR="00DB15E9" w14:paraId="009C5411" w14:textId="77777777" w:rsidTr="00DB15E9">
        <w:trPr>
          <w:trHeight w:val="300"/>
        </w:trPr>
        <w:tc>
          <w:tcPr>
            <w:tcW w:w="1390" w:type="dxa"/>
            <w:hideMark/>
          </w:tcPr>
          <w:p w14:paraId="5B2A834A" w14:textId="77777777" w:rsidR="00DB15E9" w:rsidRDefault="0078312E">
            <w:pPr>
              <w:pStyle w:val="ESSPFigure"/>
              <w:keepNext w:val="0"/>
              <w:rPr>
                <w:rFonts w:ascii="Helvetica" w:hAnsi="Helvetica"/>
                <w:noProof w:val="0"/>
              </w:rPr>
            </w:pPr>
            <w:r>
              <w:rPr>
                <w:rFonts w:ascii="Helvetica" w:hAnsi="Helvetica"/>
                <w:noProof w:val="0"/>
              </w:rPr>
              <w:t>7</w:t>
            </w:r>
          </w:p>
        </w:tc>
        <w:tc>
          <w:tcPr>
            <w:tcW w:w="1310" w:type="dxa"/>
            <w:hideMark/>
          </w:tcPr>
          <w:p w14:paraId="08FB8C99" w14:textId="77777777" w:rsidR="00DB15E9" w:rsidRDefault="0078312E">
            <w:pPr>
              <w:pStyle w:val="ESSPFigure"/>
              <w:keepNext w:val="0"/>
              <w:rPr>
                <w:rFonts w:ascii="Helvetica" w:hAnsi="Helvetica"/>
                <w:noProof w:val="0"/>
              </w:rPr>
            </w:pPr>
            <w:r>
              <w:rPr>
                <w:rFonts w:ascii="Helvetica" w:hAnsi="Helvetica"/>
                <w:noProof w:val="0"/>
              </w:rPr>
              <w:t>1.98E+05</w:t>
            </w:r>
          </w:p>
        </w:tc>
        <w:tc>
          <w:tcPr>
            <w:tcW w:w="2057" w:type="dxa"/>
            <w:hideMark/>
          </w:tcPr>
          <w:p w14:paraId="354D6D79" w14:textId="77777777" w:rsidR="00DB15E9" w:rsidRDefault="0078312E">
            <w:pPr>
              <w:pStyle w:val="ESSPFigure"/>
              <w:keepNext w:val="0"/>
              <w:rPr>
                <w:rFonts w:ascii="Helvetica" w:hAnsi="Helvetica"/>
                <w:noProof w:val="0"/>
              </w:rPr>
            </w:pPr>
            <w:r>
              <w:rPr>
                <w:rFonts w:ascii="Helvetica" w:hAnsi="Helvetica"/>
                <w:noProof w:val="0"/>
              </w:rPr>
              <w:t>4.87E+02</w:t>
            </w:r>
          </w:p>
        </w:tc>
        <w:tc>
          <w:tcPr>
            <w:tcW w:w="1251" w:type="dxa"/>
            <w:hideMark/>
          </w:tcPr>
          <w:p w14:paraId="766D9505" w14:textId="77777777" w:rsidR="00DB15E9" w:rsidRDefault="0078312E">
            <w:pPr>
              <w:pStyle w:val="ESSPFigure"/>
              <w:keepNext w:val="0"/>
              <w:rPr>
                <w:rFonts w:ascii="Helvetica" w:hAnsi="Helvetica"/>
                <w:noProof w:val="0"/>
              </w:rPr>
            </w:pPr>
            <w:r>
              <w:rPr>
                <w:rFonts w:ascii="Helvetica" w:hAnsi="Helvetica"/>
                <w:noProof w:val="0"/>
              </w:rPr>
              <w:t>7.70E+03</w:t>
            </w:r>
          </w:p>
        </w:tc>
        <w:tc>
          <w:tcPr>
            <w:tcW w:w="1251" w:type="dxa"/>
            <w:hideMark/>
          </w:tcPr>
          <w:p w14:paraId="64FAC764" w14:textId="77777777" w:rsidR="00DB15E9" w:rsidRDefault="0078312E">
            <w:pPr>
              <w:pStyle w:val="ESSPFigure"/>
              <w:keepNext w:val="0"/>
              <w:rPr>
                <w:rFonts w:ascii="Helvetica" w:hAnsi="Helvetica"/>
                <w:noProof w:val="0"/>
              </w:rPr>
            </w:pPr>
            <w:r>
              <w:rPr>
                <w:rFonts w:ascii="Helvetica" w:hAnsi="Helvetica"/>
                <w:noProof w:val="0"/>
              </w:rPr>
              <w:t>1.29E+04</w:t>
            </w:r>
          </w:p>
        </w:tc>
        <w:tc>
          <w:tcPr>
            <w:tcW w:w="1251" w:type="dxa"/>
            <w:hideMark/>
          </w:tcPr>
          <w:p w14:paraId="03C03ACC" w14:textId="77777777" w:rsidR="00DB15E9" w:rsidRDefault="0078312E">
            <w:pPr>
              <w:pStyle w:val="ESSPFigure"/>
              <w:keepNext w:val="0"/>
              <w:rPr>
                <w:noProof w:val="0"/>
              </w:rPr>
            </w:pPr>
            <w:r>
              <w:rPr>
                <w:rFonts w:ascii="Helvetica" w:hAnsi="Helvetica"/>
                <w:noProof w:val="0"/>
              </w:rPr>
              <w:t>2.19E+05</w:t>
            </w:r>
          </w:p>
        </w:tc>
      </w:tr>
      <w:tr w:rsidR="00DB15E9" w14:paraId="6A013291" w14:textId="77777777" w:rsidTr="00DB15E9">
        <w:trPr>
          <w:trHeight w:val="300"/>
        </w:trPr>
        <w:tc>
          <w:tcPr>
            <w:tcW w:w="1390" w:type="dxa"/>
            <w:hideMark/>
          </w:tcPr>
          <w:p w14:paraId="0851CD3F" w14:textId="77777777" w:rsidR="00DB15E9" w:rsidRDefault="0078312E">
            <w:pPr>
              <w:pStyle w:val="ESSPFigure"/>
              <w:keepNext w:val="0"/>
              <w:rPr>
                <w:rFonts w:ascii="Helvetica" w:hAnsi="Helvetica"/>
                <w:noProof w:val="0"/>
              </w:rPr>
            </w:pPr>
            <w:r>
              <w:rPr>
                <w:rFonts w:ascii="Helvetica" w:hAnsi="Helvetica"/>
                <w:noProof w:val="0"/>
              </w:rPr>
              <w:t>9</w:t>
            </w:r>
          </w:p>
        </w:tc>
        <w:tc>
          <w:tcPr>
            <w:tcW w:w="1310" w:type="dxa"/>
            <w:hideMark/>
          </w:tcPr>
          <w:p w14:paraId="453B9ECA" w14:textId="77777777" w:rsidR="00DB15E9" w:rsidRDefault="0078312E">
            <w:pPr>
              <w:pStyle w:val="ESSPFigure"/>
              <w:keepNext w:val="0"/>
              <w:rPr>
                <w:rFonts w:ascii="Helvetica" w:hAnsi="Helvetica"/>
                <w:noProof w:val="0"/>
              </w:rPr>
            </w:pPr>
            <w:r>
              <w:rPr>
                <w:rFonts w:ascii="Helvetica" w:hAnsi="Helvetica"/>
                <w:noProof w:val="0"/>
              </w:rPr>
              <w:t>1.38E+05</w:t>
            </w:r>
          </w:p>
        </w:tc>
        <w:tc>
          <w:tcPr>
            <w:tcW w:w="2057" w:type="dxa"/>
            <w:hideMark/>
          </w:tcPr>
          <w:p w14:paraId="1B477381" w14:textId="77777777" w:rsidR="00DB15E9" w:rsidRDefault="0078312E">
            <w:pPr>
              <w:pStyle w:val="ESSPFigure"/>
              <w:keepNext w:val="0"/>
              <w:rPr>
                <w:rFonts w:ascii="Helvetica" w:hAnsi="Helvetica"/>
                <w:noProof w:val="0"/>
              </w:rPr>
            </w:pPr>
            <w:r>
              <w:rPr>
                <w:rFonts w:ascii="Helvetica" w:hAnsi="Helvetica"/>
                <w:noProof w:val="0"/>
              </w:rPr>
              <w:t>3.72E+02</w:t>
            </w:r>
          </w:p>
        </w:tc>
        <w:tc>
          <w:tcPr>
            <w:tcW w:w="1251" w:type="dxa"/>
            <w:hideMark/>
          </w:tcPr>
          <w:p w14:paraId="1F26DC01" w14:textId="77777777" w:rsidR="00DB15E9" w:rsidRDefault="0078312E">
            <w:pPr>
              <w:pStyle w:val="ESSPFigure"/>
              <w:keepNext w:val="0"/>
              <w:rPr>
                <w:rFonts w:ascii="Helvetica" w:hAnsi="Helvetica"/>
                <w:noProof w:val="0"/>
              </w:rPr>
            </w:pPr>
            <w:r>
              <w:rPr>
                <w:rFonts w:ascii="Helvetica" w:hAnsi="Helvetica"/>
                <w:noProof w:val="0"/>
              </w:rPr>
              <w:t>6.30E+03</w:t>
            </w:r>
          </w:p>
        </w:tc>
        <w:tc>
          <w:tcPr>
            <w:tcW w:w="1251" w:type="dxa"/>
            <w:hideMark/>
          </w:tcPr>
          <w:p w14:paraId="30D2D86C" w14:textId="77777777" w:rsidR="00DB15E9" w:rsidRDefault="0078312E">
            <w:pPr>
              <w:pStyle w:val="ESSPFigure"/>
              <w:keepNext w:val="0"/>
              <w:rPr>
                <w:rFonts w:ascii="Helvetica" w:hAnsi="Helvetica"/>
                <w:noProof w:val="0"/>
              </w:rPr>
            </w:pPr>
            <w:r>
              <w:rPr>
                <w:rFonts w:ascii="Helvetica" w:hAnsi="Helvetica"/>
                <w:noProof w:val="0"/>
              </w:rPr>
              <w:t>1.04E+04</w:t>
            </w:r>
          </w:p>
        </w:tc>
        <w:tc>
          <w:tcPr>
            <w:tcW w:w="1251" w:type="dxa"/>
            <w:hideMark/>
          </w:tcPr>
          <w:p w14:paraId="23C57AB5" w14:textId="77777777" w:rsidR="00DB15E9" w:rsidRDefault="0078312E">
            <w:pPr>
              <w:pStyle w:val="ESSPFigure"/>
              <w:keepNext w:val="0"/>
              <w:rPr>
                <w:noProof w:val="0"/>
              </w:rPr>
            </w:pPr>
            <w:r>
              <w:rPr>
                <w:rFonts w:ascii="Helvetica" w:hAnsi="Helvetica"/>
                <w:noProof w:val="0"/>
              </w:rPr>
              <w:t>1.55E+05</w:t>
            </w:r>
          </w:p>
        </w:tc>
      </w:tr>
      <w:tr w:rsidR="00DB15E9" w14:paraId="27EBACA3" w14:textId="77777777" w:rsidTr="00DB15E9">
        <w:trPr>
          <w:trHeight w:val="300"/>
        </w:trPr>
        <w:tc>
          <w:tcPr>
            <w:tcW w:w="1390" w:type="dxa"/>
            <w:hideMark/>
          </w:tcPr>
          <w:p w14:paraId="4AFDC316" w14:textId="77777777" w:rsidR="00DB15E9" w:rsidRDefault="0078312E">
            <w:pPr>
              <w:pStyle w:val="ESSPFigure"/>
              <w:keepNext w:val="0"/>
              <w:rPr>
                <w:rFonts w:ascii="Helvetica" w:hAnsi="Helvetica"/>
                <w:noProof w:val="0"/>
              </w:rPr>
            </w:pPr>
            <w:r>
              <w:rPr>
                <w:rFonts w:ascii="Helvetica" w:hAnsi="Helvetica"/>
                <w:noProof w:val="0"/>
              </w:rPr>
              <w:t>10</w:t>
            </w:r>
          </w:p>
        </w:tc>
        <w:tc>
          <w:tcPr>
            <w:tcW w:w="1310" w:type="dxa"/>
            <w:hideMark/>
          </w:tcPr>
          <w:p w14:paraId="0431F7BD" w14:textId="77777777" w:rsidR="00DB15E9" w:rsidRDefault="0078312E">
            <w:pPr>
              <w:pStyle w:val="ESSPFigure"/>
              <w:keepNext w:val="0"/>
              <w:rPr>
                <w:rFonts w:ascii="Helvetica" w:hAnsi="Helvetica"/>
                <w:noProof w:val="0"/>
              </w:rPr>
            </w:pPr>
            <w:r>
              <w:rPr>
                <w:rFonts w:ascii="Helvetica" w:hAnsi="Helvetica"/>
                <w:noProof w:val="0"/>
              </w:rPr>
              <w:t>1.18E+05</w:t>
            </w:r>
          </w:p>
        </w:tc>
        <w:tc>
          <w:tcPr>
            <w:tcW w:w="2057" w:type="dxa"/>
            <w:hideMark/>
          </w:tcPr>
          <w:p w14:paraId="0BF9D1D9" w14:textId="77777777" w:rsidR="00DB15E9" w:rsidRDefault="0078312E">
            <w:pPr>
              <w:pStyle w:val="ESSPFigure"/>
              <w:keepNext w:val="0"/>
              <w:rPr>
                <w:rFonts w:ascii="Helvetica" w:hAnsi="Helvetica"/>
                <w:noProof w:val="0"/>
              </w:rPr>
            </w:pPr>
            <w:r>
              <w:rPr>
                <w:rFonts w:ascii="Helvetica" w:hAnsi="Helvetica"/>
                <w:noProof w:val="0"/>
              </w:rPr>
              <w:t>3.32E+02</w:t>
            </w:r>
          </w:p>
        </w:tc>
        <w:tc>
          <w:tcPr>
            <w:tcW w:w="1251" w:type="dxa"/>
            <w:hideMark/>
          </w:tcPr>
          <w:p w14:paraId="09F4308D" w14:textId="77777777" w:rsidR="00DB15E9" w:rsidRDefault="0078312E">
            <w:pPr>
              <w:pStyle w:val="ESSPFigure"/>
              <w:keepNext w:val="0"/>
              <w:rPr>
                <w:rFonts w:ascii="Helvetica" w:hAnsi="Helvetica"/>
                <w:noProof w:val="0"/>
              </w:rPr>
            </w:pPr>
            <w:r>
              <w:rPr>
                <w:rFonts w:ascii="Helvetica" w:hAnsi="Helvetica"/>
                <w:noProof w:val="0"/>
              </w:rPr>
              <w:t>5.79E+03</w:t>
            </w:r>
          </w:p>
        </w:tc>
        <w:tc>
          <w:tcPr>
            <w:tcW w:w="1251" w:type="dxa"/>
            <w:hideMark/>
          </w:tcPr>
          <w:p w14:paraId="77F745F8" w14:textId="77777777" w:rsidR="00DB15E9" w:rsidRDefault="0078312E">
            <w:pPr>
              <w:pStyle w:val="ESSPFigure"/>
              <w:keepNext w:val="0"/>
              <w:rPr>
                <w:rFonts w:ascii="Helvetica" w:hAnsi="Helvetica"/>
                <w:noProof w:val="0"/>
              </w:rPr>
            </w:pPr>
            <w:r>
              <w:rPr>
                <w:rFonts w:ascii="Helvetica" w:hAnsi="Helvetica"/>
                <w:noProof w:val="0"/>
              </w:rPr>
              <w:t>9.47E+03</w:t>
            </w:r>
          </w:p>
        </w:tc>
        <w:tc>
          <w:tcPr>
            <w:tcW w:w="1251" w:type="dxa"/>
            <w:hideMark/>
          </w:tcPr>
          <w:p w14:paraId="64443680" w14:textId="77777777" w:rsidR="00DB15E9" w:rsidRDefault="0078312E">
            <w:pPr>
              <w:pStyle w:val="ESSPFigure"/>
              <w:keepNext w:val="0"/>
              <w:rPr>
                <w:noProof w:val="0"/>
              </w:rPr>
            </w:pPr>
            <w:r>
              <w:rPr>
                <w:rFonts w:ascii="Helvetica" w:hAnsi="Helvetica"/>
                <w:noProof w:val="0"/>
              </w:rPr>
              <w:t>1.34E+05</w:t>
            </w:r>
          </w:p>
        </w:tc>
      </w:tr>
      <w:tr w:rsidR="00DB15E9" w14:paraId="0284D2FA" w14:textId="77777777" w:rsidTr="00DB15E9">
        <w:trPr>
          <w:trHeight w:val="300"/>
        </w:trPr>
        <w:tc>
          <w:tcPr>
            <w:tcW w:w="1390" w:type="dxa"/>
            <w:hideMark/>
          </w:tcPr>
          <w:p w14:paraId="174A9E6B" w14:textId="77777777" w:rsidR="00DB15E9" w:rsidRDefault="0078312E">
            <w:pPr>
              <w:pStyle w:val="ESSPFigure"/>
              <w:keepNext w:val="0"/>
              <w:rPr>
                <w:rFonts w:ascii="Helvetica" w:hAnsi="Helvetica"/>
                <w:noProof w:val="0"/>
              </w:rPr>
            </w:pPr>
            <w:r>
              <w:rPr>
                <w:rFonts w:ascii="Helvetica" w:hAnsi="Helvetica"/>
                <w:noProof w:val="0"/>
              </w:rPr>
              <w:t>12</w:t>
            </w:r>
          </w:p>
        </w:tc>
        <w:tc>
          <w:tcPr>
            <w:tcW w:w="1310" w:type="dxa"/>
            <w:hideMark/>
          </w:tcPr>
          <w:p w14:paraId="24AC2100" w14:textId="77777777" w:rsidR="00DB15E9" w:rsidRDefault="0078312E">
            <w:pPr>
              <w:pStyle w:val="ESSPFigure"/>
              <w:keepNext w:val="0"/>
              <w:rPr>
                <w:rFonts w:ascii="Helvetica" w:hAnsi="Helvetica"/>
                <w:noProof w:val="0"/>
              </w:rPr>
            </w:pPr>
            <w:r>
              <w:rPr>
                <w:rFonts w:ascii="Helvetica" w:hAnsi="Helvetica"/>
                <w:noProof w:val="0"/>
              </w:rPr>
              <w:t>9.04E+04</w:t>
            </w:r>
          </w:p>
        </w:tc>
        <w:tc>
          <w:tcPr>
            <w:tcW w:w="2057" w:type="dxa"/>
            <w:hideMark/>
          </w:tcPr>
          <w:p w14:paraId="7A7AC454" w14:textId="77777777" w:rsidR="00DB15E9" w:rsidRDefault="0078312E">
            <w:pPr>
              <w:pStyle w:val="ESSPFigure"/>
              <w:keepNext w:val="0"/>
              <w:rPr>
                <w:rFonts w:ascii="Helvetica" w:hAnsi="Helvetica"/>
                <w:noProof w:val="0"/>
              </w:rPr>
            </w:pPr>
            <w:r>
              <w:rPr>
                <w:rFonts w:ascii="Helvetica" w:hAnsi="Helvetica"/>
                <w:noProof w:val="0"/>
              </w:rPr>
              <w:t>2.70E+02</w:t>
            </w:r>
          </w:p>
        </w:tc>
        <w:tc>
          <w:tcPr>
            <w:tcW w:w="1251" w:type="dxa"/>
            <w:hideMark/>
          </w:tcPr>
          <w:p w14:paraId="52CAC7B8" w14:textId="77777777" w:rsidR="00DB15E9" w:rsidRDefault="0078312E">
            <w:pPr>
              <w:pStyle w:val="ESSPFigure"/>
              <w:keepNext w:val="0"/>
              <w:rPr>
                <w:rFonts w:ascii="Helvetica" w:hAnsi="Helvetica"/>
                <w:noProof w:val="0"/>
              </w:rPr>
            </w:pPr>
            <w:r>
              <w:rPr>
                <w:rFonts w:ascii="Helvetica" w:hAnsi="Helvetica"/>
                <w:noProof w:val="0"/>
              </w:rPr>
              <w:t>5.01E+03</w:t>
            </w:r>
          </w:p>
        </w:tc>
        <w:tc>
          <w:tcPr>
            <w:tcW w:w="1251" w:type="dxa"/>
            <w:hideMark/>
          </w:tcPr>
          <w:p w14:paraId="485CCBC3" w14:textId="77777777" w:rsidR="00DB15E9" w:rsidRDefault="0078312E">
            <w:pPr>
              <w:pStyle w:val="ESSPFigure"/>
              <w:keepNext w:val="0"/>
              <w:rPr>
                <w:rFonts w:ascii="Helvetica" w:hAnsi="Helvetica"/>
                <w:noProof w:val="0"/>
              </w:rPr>
            </w:pPr>
            <w:r>
              <w:rPr>
                <w:rFonts w:ascii="Helvetica" w:hAnsi="Helvetica"/>
                <w:noProof w:val="0"/>
              </w:rPr>
              <w:t>7.92E+03</w:t>
            </w:r>
          </w:p>
        </w:tc>
        <w:tc>
          <w:tcPr>
            <w:tcW w:w="1251" w:type="dxa"/>
            <w:hideMark/>
          </w:tcPr>
          <w:p w14:paraId="2B01E397" w14:textId="77777777" w:rsidR="00DB15E9" w:rsidRDefault="0078312E">
            <w:pPr>
              <w:pStyle w:val="ESSPFigure"/>
              <w:keepNext w:val="0"/>
              <w:rPr>
                <w:noProof w:val="0"/>
              </w:rPr>
            </w:pPr>
            <w:r>
              <w:rPr>
                <w:rFonts w:ascii="Helvetica" w:hAnsi="Helvetica"/>
                <w:noProof w:val="0"/>
              </w:rPr>
              <w:t>1.04E+05</w:t>
            </w:r>
          </w:p>
        </w:tc>
      </w:tr>
      <w:tr w:rsidR="00DB15E9" w14:paraId="2C3542D1" w14:textId="77777777" w:rsidTr="00DB15E9">
        <w:trPr>
          <w:trHeight w:val="300"/>
        </w:trPr>
        <w:tc>
          <w:tcPr>
            <w:tcW w:w="1390" w:type="dxa"/>
            <w:hideMark/>
          </w:tcPr>
          <w:p w14:paraId="3C9E805C" w14:textId="77777777" w:rsidR="00DB15E9" w:rsidRDefault="0078312E">
            <w:pPr>
              <w:pStyle w:val="ESSPFigure"/>
              <w:keepNext w:val="0"/>
              <w:rPr>
                <w:rFonts w:ascii="Helvetica" w:hAnsi="Helvetica"/>
                <w:noProof w:val="0"/>
              </w:rPr>
            </w:pPr>
            <w:r>
              <w:rPr>
                <w:rFonts w:ascii="Helvetica" w:hAnsi="Helvetica"/>
                <w:noProof w:val="0"/>
              </w:rPr>
              <w:t>13</w:t>
            </w:r>
          </w:p>
        </w:tc>
        <w:tc>
          <w:tcPr>
            <w:tcW w:w="1310" w:type="dxa"/>
            <w:hideMark/>
          </w:tcPr>
          <w:p w14:paraId="27AF2477" w14:textId="77777777" w:rsidR="00DB15E9" w:rsidRDefault="0078312E">
            <w:pPr>
              <w:pStyle w:val="ESSPFigure"/>
              <w:keepNext w:val="0"/>
              <w:rPr>
                <w:rFonts w:ascii="Helvetica" w:hAnsi="Helvetica"/>
                <w:noProof w:val="0"/>
              </w:rPr>
            </w:pPr>
            <w:r>
              <w:rPr>
                <w:rFonts w:ascii="Helvetica" w:hAnsi="Helvetica"/>
                <w:noProof w:val="0"/>
              </w:rPr>
              <w:t>8.03E+04</w:t>
            </w:r>
          </w:p>
        </w:tc>
        <w:tc>
          <w:tcPr>
            <w:tcW w:w="2057" w:type="dxa"/>
            <w:hideMark/>
          </w:tcPr>
          <w:p w14:paraId="0516A7F3" w14:textId="77777777" w:rsidR="00DB15E9" w:rsidRDefault="0078312E">
            <w:pPr>
              <w:pStyle w:val="ESSPFigure"/>
              <w:keepNext w:val="0"/>
              <w:rPr>
                <w:rFonts w:ascii="Helvetica" w:hAnsi="Helvetica"/>
                <w:noProof w:val="0"/>
              </w:rPr>
            </w:pPr>
            <w:r>
              <w:rPr>
                <w:rFonts w:ascii="Helvetica" w:hAnsi="Helvetica"/>
                <w:noProof w:val="0"/>
              </w:rPr>
              <w:t>2.46E+02</w:t>
            </w:r>
          </w:p>
        </w:tc>
        <w:tc>
          <w:tcPr>
            <w:tcW w:w="1251" w:type="dxa"/>
            <w:hideMark/>
          </w:tcPr>
          <w:p w14:paraId="5135CA07" w14:textId="77777777" w:rsidR="00DB15E9" w:rsidRDefault="0078312E">
            <w:pPr>
              <w:pStyle w:val="ESSPFigure"/>
              <w:keepNext w:val="0"/>
              <w:rPr>
                <w:rFonts w:ascii="Helvetica" w:hAnsi="Helvetica"/>
                <w:noProof w:val="0"/>
              </w:rPr>
            </w:pPr>
            <w:r>
              <w:rPr>
                <w:rFonts w:ascii="Helvetica" w:hAnsi="Helvetica"/>
                <w:noProof w:val="0"/>
              </w:rPr>
              <w:t>4.72E+03</w:t>
            </w:r>
          </w:p>
        </w:tc>
        <w:tc>
          <w:tcPr>
            <w:tcW w:w="1251" w:type="dxa"/>
            <w:hideMark/>
          </w:tcPr>
          <w:p w14:paraId="17944397" w14:textId="77777777" w:rsidR="00DB15E9" w:rsidRDefault="0078312E">
            <w:pPr>
              <w:pStyle w:val="ESSPFigure"/>
              <w:keepNext w:val="0"/>
              <w:rPr>
                <w:rFonts w:ascii="Helvetica" w:hAnsi="Helvetica"/>
                <w:noProof w:val="0"/>
              </w:rPr>
            </w:pPr>
            <w:r>
              <w:rPr>
                <w:rFonts w:ascii="Helvetica" w:hAnsi="Helvetica"/>
                <w:noProof w:val="0"/>
              </w:rPr>
              <w:t>7.31E+03</w:t>
            </w:r>
          </w:p>
        </w:tc>
        <w:tc>
          <w:tcPr>
            <w:tcW w:w="1251" w:type="dxa"/>
            <w:hideMark/>
          </w:tcPr>
          <w:p w14:paraId="2DF1B18D" w14:textId="77777777" w:rsidR="00DB15E9" w:rsidRDefault="0078312E">
            <w:pPr>
              <w:pStyle w:val="ESSPFigure"/>
              <w:keepNext w:val="0"/>
              <w:rPr>
                <w:noProof w:val="0"/>
              </w:rPr>
            </w:pPr>
            <w:r>
              <w:rPr>
                <w:rFonts w:ascii="Helvetica" w:hAnsi="Helvetica"/>
                <w:noProof w:val="0"/>
              </w:rPr>
              <w:t>9.25E+04</w:t>
            </w:r>
          </w:p>
        </w:tc>
      </w:tr>
      <w:tr w:rsidR="00DB15E9" w14:paraId="7D42BE19" w14:textId="77777777" w:rsidTr="00DB15E9">
        <w:trPr>
          <w:trHeight w:val="300"/>
        </w:trPr>
        <w:tc>
          <w:tcPr>
            <w:tcW w:w="1390" w:type="dxa"/>
            <w:hideMark/>
          </w:tcPr>
          <w:p w14:paraId="1251288A" w14:textId="77777777" w:rsidR="00DB15E9" w:rsidRDefault="0078312E">
            <w:pPr>
              <w:pStyle w:val="ESSPFigure"/>
              <w:keepNext w:val="0"/>
              <w:rPr>
                <w:rFonts w:ascii="Helvetica" w:hAnsi="Helvetica"/>
                <w:noProof w:val="0"/>
              </w:rPr>
            </w:pPr>
            <w:r>
              <w:rPr>
                <w:rFonts w:ascii="Helvetica" w:hAnsi="Helvetica"/>
                <w:noProof w:val="0"/>
              </w:rPr>
              <w:t>15</w:t>
            </w:r>
          </w:p>
        </w:tc>
        <w:tc>
          <w:tcPr>
            <w:tcW w:w="1310" w:type="dxa"/>
            <w:hideMark/>
          </w:tcPr>
          <w:p w14:paraId="4E8CFD17" w14:textId="77777777" w:rsidR="00DB15E9" w:rsidRDefault="0078312E">
            <w:pPr>
              <w:pStyle w:val="ESSPFigure"/>
              <w:keepNext w:val="0"/>
              <w:rPr>
                <w:rFonts w:ascii="Helvetica" w:hAnsi="Helvetica"/>
                <w:noProof w:val="0"/>
              </w:rPr>
            </w:pPr>
            <w:r>
              <w:rPr>
                <w:rFonts w:ascii="Helvetica" w:hAnsi="Helvetica"/>
                <w:noProof w:val="0"/>
              </w:rPr>
              <w:t>6.45E+04</w:t>
            </w:r>
          </w:p>
        </w:tc>
        <w:tc>
          <w:tcPr>
            <w:tcW w:w="2057" w:type="dxa"/>
            <w:hideMark/>
          </w:tcPr>
          <w:p w14:paraId="11D635B9" w14:textId="77777777" w:rsidR="00DB15E9" w:rsidRDefault="0078312E">
            <w:pPr>
              <w:pStyle w:val="ESSPFigure"/>
              <w:keepNext w:val="0"/>
              <w:rPr>
                <w:rFonts w:ascii="Helvetica" w:hAnsi="Helvetica"/>
                <w:noProof w:val="0"/>
              </w:rPr>
            </w:pPr>
            <w:r>
              <w:rPr>
                <w:rFonts w:ascii="Helvetica" w:hAnsi="Helvetica"/>
                <w:noProof w:val="0"/>
              </w:rPr>
              <w:t>2.08E+02</w:t>
            </w:r>
          </w:p>
        </w:tc>
        <w:tc>
          <w:tcPr>
            <w:tcW w:w="1251" w:type="dxa"/>
            <w:hideMark/>
          </w:tcPr>
          <w:p w14:paraId="61D7AFEE" w14:textId="77777777" w:rsidR="00DB15E9" w:rsidRDefault="0078312E">
            <w:pPr>
              <w:pStyle w:val="ESSPFigure"/>
              <w:keepNext w:val="0"/>
              <w:rPr>
                <w:rFonts w:ascii="Helvetica" w:hAnsi="Helvetica"/>
                <w:noProof w:val="0"/>
              </w:rPr>
            </w:pPr>
            <w:r>
              <w:rPr>
                <w:rFonts w:ascii="Helvetica" w:hAnsi="Helvetica"/>
                <w:noProof w:val="0"/>
              </w:rPr>
              <w:t>4.28E+03</w:t>
            </w:r>
          </w:p>
        </w:tc>
        <w:tc>
          <w:tcPr>
            <w:tcW w:w="1251" w:type="dxa"/>
            <w:hideMark/>
          </w:tcPr>
          <w:p w14:paraId="2A85205E" w14:textId="77777777" w:rsidR="00DB15E9" w:rsidRDefault="0078312E">
            <w:pPr>
              <w:pStyle w:val="ESSPFigure"/>
              <w:keepNext w:val="0"/>
              <w:rPr>
                <w:rFonts w:ascii="Helvetica" w:hAnsi="Helvetica"/>
                <w:noProof w:val="0"/>
              </w:rPr>
            </w:pPr>
            <w:r>
              <w:rPr>
                <w:rFonts w:ascii="Helvetica" w:hAnsi="Helvetica"/>
                <w:noProof w:val="0"/>
              </w:rPr>
              <w:t>6.28E+03</w:t>
            </w:r>
          </w:p>
        </w:tc>
        <w:tc>
          <w:tcPr>
            <w:tcW w:w="1251" w:type="dxa"/>
            <w:hideMark/>
          </w:tcPr>
          <w:p w14:paraId="503786FF" w14:textId="77777777" w:rsidR="00DB15E9" w:rsidRDefault="0078312E">
            <w:pPr>
              <w:pStyle w:val="ESSPFigure"/>
              <w:keepNext w:val="0"/>
              <w:rPr>
                <w:noProof w:val="0"/>
              </w:rPr>
            </w:pPr>
            <w:r>
              <w:rPr>
                <w:rFonts w:ascii="Helvetica" w:hAnsi="Helvetica"/>
                <w:noProof w:val="0"/>
              </w:rPr>
              <w:t>7.53E+04</w:t>
            </w:r>
          </w:p>
        </w:tc>
      </w:tr>
      <w:tr w:rsidR="00DB15E9" w14:paraId="514955B4" w14:textId="77777777" w:rsidTr="00DB15E9">
        <w:trPr>
          <w:trHeight w:val="300"/>
        </w:trPr>
        <w:tc>
          <w:tcPr>
            <w:tcW w:w="1390" w:type="dxa"/>
            <w:hideMark/>
          </w:tcPr>
          <w:p w14:paraId="0483C0A5" w14:textId="77777777" w:rsidR="00DB15E9" w:rsidRDefault="0078312E">
            <w:pPr>
              <w:pStyle w:val="ESSPFigure"/>
              <w:keepNext w:val="0"/>
              <w:rPr>
                <w:rFonts w:ascii="Helvetica" w:hAnsi="Helvetica"/>
                <w:noProof w:val="0"/>
              </w:rPr>
            </w:pPr>
            <w:r>
              <w:rPr>
                <w:rFonts w:ascii="Helvetica" w:hAnsi="Helvetica"/>
                <w:noProof w:val="0"/>
              </w:rPr>
              <w:t>29</w:t>
            </w:r>
          </w:p>
        </w:tc>
        <w:tc>
          <w:tcPr>
            <w:tcW w:w="1310" w:type="dxa"/>
            <w:hideMark/>
          </w:tcPr>
          <w:p w14:paraId="4D821B49" w14:textId="77777777" w:rsidR="00DB15E9" w:rsidRDefault="0078312E">
            <w:pPr>
              <w:pStyle w:val="ESSPFigure"/>
              <w:keepNext w:val="0"/>
              <w:rPr>
                <w:rFonts w:ascii="Helvetica" w:hAnsi="Helvetica"/>
                <w:noProof w:val="0"/>
              </w:rPr>
            </w:pPr>
            <w:r>
              <w:rPr>
                <w:rFonts w:ascii="Helvetica" w:hAnsi="Helvetica"/>
                <w:noProof w:val="0"/>
              </w:rPr>
              <w:t>2.31E+04</w:t>
            </w:r>
          </w:p>
        </w:tc>
        <w:tc>
          <w:tcPr>
            <w:tcW w:w="2057" w:type="dxa"/>
            <w:hideMark/>
          </w:tcPr>
          <w:p w14:paraId="135D92D8" w14:textId="77777777" w:rsidR="00DB15E9" w:rsidRDefault="0078312E">
            <w:pPr>
              <w:pStyle w:val="ESSPFigure"/>
              <w:keepNext w:val="0"/>
              <w:rPr>
                <w:rFonts w:ascii="Helvetica" w:hAnsi="Helvetica"/>
                <w:noProof w:val="0"/>
              </w:rPr>
            </w:pPr>
            <w:r>
              <w:rPr>
                <w:rFonts w:ascii="Helvetica" w:hAnsi="Helvetica"/>
                <w:noProof w:val="0"/>
              </w:rPr>
              <w:t>9.80E+01</w:t>
            </w:r>
          </w:p>
        </w:tc>
        <w:tc>
          <w:tcPr>
            <w:tcW w:w="1251" w:type="dxa"/>
            <w:hideMark/>
          </w:tcPr>
          <w:p w14:paraId="07D71B59" w14:textId="77777777" w:rsidR="00DB15E9" w:rsidRDefault="0078312E">
            <w:pPr>
              <w:pStyle w:val="ESSPFigure"/>
              <w:keepNext w:val="0"/>
              <w:rPr>
                <w:rFonts w:ascii="Helvetica" w:hAnsi="Helvetica"/>
                <w:noProof w:val="0"/>
              </w:rPr>
            </w:pPr>
            <w:r>
              <w:rPr>
                <w:rFonts w:ascii="Helvetica" w:hAnsi="Helvetica"/>
                <w:noProof w:val="0"/>
              </w:rPr>
              <w:t>2.80E+03</w:t>
            </w:r>
          </w:p>
        </w:tc>
        <w:tc>
          <w:tcPr>
            <w:tcW w:w="1251" w:type="dxa"/>
            <w:hideMark/>
          </w:tcPr>
          <w:p w14:paraId="6240E59E" w14:textId="77777777" w:rsidR="00DB15E9" w:rsidRDefault="0078312E">
            <w:pPr>
              <w:pStyle w:val="ESSPFigure"/>
              <w:keepNext w:val="0"/>
              <w:rPr>
                <w:rFonts w:ascii="Helvetica" w:hAnsi="Helvetica"/>
                <w:noProof w:val="0"/>
              </w:rPr>
            </w:pPr>
            <w:r>
              <w:rPr>
                <w:rFonts w:ascii="Helvetica" w:hAnsi="Helvetica"/>
                <w:noProof w:val="0"/>
              </w:rPr>
              <w:t>2.96E+03</w:t>
            </w:r>
          </w:p>
        </w:tc>
        <w:tc>
          <w:tcPr>
            <w:tcW w:w="1251" w:type="dxa"/>
            <w:hideMark/>
          </w:tcPr>
          <w:p w14:paraId="6EB5D8C1" w14:textId="77777777" w:rsidR="00DB15E9" w:rsidRDefault="0078312E">
            <w:pPr>
              <w:pStyle w:val="ESSPFigure"/>
              <w:keepNext w:val="0"/>
              <w:rPr>
                <w:noProof w:val="0"/>
              </w:rPr>
            </w:pPr>
            <w:r>
              <w:rPr>
                <w:rFonts w:ascii="Helvetica" w:hAnsi="Helvetica"/>
                <w:noProof w:val="0"/>
              </w:rPr>
              <w:t>2.90E+04</w:t>
            </w:r>
          </w:p>
        </w:tc>
      </w:tr>
      <w:tr w:rsidR="00DB15E9" w14:paraId="1F79AF0C" w14:textId="77777777" w:rsidTr="00DB15E9">
        <w:trPr>
          <w:trHeight w:val="300"/>
        </w:trPr>
        <w:tc>
          <w:tcPr>
            <w:tcW w:w="1390" w:type="dxa"/>
            <w:hideMark/>
          </w:tcPr>
          <w:p w14:paraId="0569C252" w14:textId="77777777" w:rsidR="00DB15E9" w:rsidRDefault="0078312E">
            <w:pPr>
              <w:pStyle w:val="ESSPFigure"/>
              <w:keepNext w:val="0"/>
              <w:rPr>
                <w:rFonts w:ascii="Helvetica" w:hAnsi="Helvetica"/>
                <w:noProof w:val="0"/>
              </w:rPr>
            </w:pPr>
            <w:r>
              <w:rPr>
                <w:rFonts w:ascii="Helvetica" w:hAnsi="Helvetica"/>
                <w:noProof w:val="0"/>
              </w:rPr>
              <w:t>44</w:t>
            </w:r>
          </w:p>
        </w:tc>
        <w:tc>
          <w:tcPr>
            <w:tcW w:w="1310" w:type="dxa"/>
            <w:hideMark/>
          </w:tcPr>
          <w:p w14:paraId="455074CB" w14:textId="77777777" w:rsidR="00DB15E9" w:rsidRDefault="0078312E">
            <w:pPr>
              <w:pStyle w:val="ESSPFigure"/>
              <w:keepNext w:val="0"/>
              <w:rPr>
                <w:rFonts w:ascii="Helvetica" w:hAnsi="Helvetica"/>
                <w:noProof w:val="0"/>
              </w:rPr>
            </w:pPr>
            <w:r>
              <w:rPr>
                <w:rFonts w:ascii="Helvetica" w:hAnsi="Helvetica"/>
                <w:noProof w:val="0"/>
              </w:rPr>
              <w:t>1.23E+04</w:t>
            </w:r>
          </w:p>
        </w:tc>
        <w:tc>
          <w:tcPr>
            <w:tcW w:w="2057" w:type="dxa"/>
            <w:hideMark/>
          </w:tcPr>
          <w:p w14:paraId="3A9D61A5" w14:textId="77777777" w:rsidR="00DB15E9" w:rsidRDefault="0078312E">
            <w:pPr>
              <w:pStyle w:val="ESSPFigure"/>
              <w:keepNext w:val="0"/>
              <w:rPr>
                <w:rFonts w:ascii="Helvetica" w:hAnsi="Helvetica"/>
                <w:noProof w:val="0"/>
              </w:rPr>
            </w:pPr>
            <w:r>
              <w:rPr>
                <w:rFonts w:ascii="Helvetica" w:hAnsi="Helvetica"/>
                <w:noProof w:val="0"/>
              </w:rPr>
              <w:t>6.33E+01</w:t>
            </w:r>
          </w:p>
        </w:tc>
        <w:tc>
          <w:tcPr>
            <w:tcW w:w="1251" w:type="dxa"/>
            <w:hideMark/>
          </w:tcPr>
          <w:p w14:paraId="42B7BEDF" w14:textId="77777777" w:rsidR="00DB15E9" w:rsidRDefault="0078312E">
            <w:pPr>
              <w:pStyle w:val="ESSPFigure"/>
              <w:keepNext w:val="0"/>
              <w:rPr>
                <w:rFonts w:ascii="Helvetica" w:hAnsi="Helvetica"/>
                <w:noProof w:val="0"/>
              </w:rPr>
            </w:pPr>
            <w:r>
              <w:rPr>
                <w:rFonts w:ascii="Helvetica" w:hAnsi="Helvetica"/>
                <w:noProof w:val="0"/>
              </w:rPr>
              <w:t>2.18E+03</w:t>
            </w:r>
          </w:p>
        </w:tc>
        <w:tc>
          <w:tcPr>
            <w:tcW w:w="1251" w:type="dxa"/>
            <w:hideMark/>
          </w:tcPr>
          <w:p w14:paraId="1E22593D" w14:textId="77777777" w:rsidR="00DB15E9" w:rsidRDefault="0078312E">
            <w:pPr>
              <w:pStyle w:val="ESSPFigure"/>
              <w:keepNext w:val="0"/>
              <w:rPr>
                <w:rFonts w:ascii="Helvetica" w:hAnsi="Helvetica"/>
                <w:noProof w:val="0"/>
              </w:rPr>
            </w:pPr>
            <w:r>
              <w:rPr>
                <w:rFonts w:ascii="Helvetica" w:hAnsi="Helvetica"/>
                <w:noProof w:val="0"/>
              </w:rPr>
              <w:t>1.94E+03</w:t>
            </w:r>
          </w:p>
        </w:tc>
        <w:tc>
          <w:tcPr>
            <w:tcW w:w="1251" w:type="dxa"/>
            <w:hideMark/>
          </w:tcPr>
          <w:p w14:paraId="26C6460A" w14:textId="77777777" w:rsidR="00DB15E9" w:rsidRDefault="0078312E">
            <w:pPr>
              <w:pStyle w:val="ESSPFigure"/>
              <w:keepNext w:val="0"/>
              <w:rPr>
                <w:noProof w:val="0"/>
              </w:rPr>
            </w:pPr>
            <w:r>
              <w:rPr>
                <w:rFonts w:ascii="Helvetica" w:hAnsi="Helvetica"/>
                <w:noProof w:val="0"/>
              </w:rPr>
              <w:t>1.65E+04</w:t>
            </w:r>
          </w:p>
        </w:tc>
      </w:tr>
      <w:tr w:rsidR="00DB15E9" w14:paraId="794C164A" w14:textId="77777777" w:rsidTr="00DB15E9">
        <w:trPr>
          <w:trHeight w:val="300"/>
        </w:trPr>
        <w:tc>
          <w:tcPr>
            <w:tcW w:w="1390" w:type="dxa"/>
            <w:hideMark/>
          </w:tcPr>
          <w:p w14:paraId="1A3D28CB" w14:textId="77777777" w:rsidR="00DB15E9" w:rsidRDefault="0078312E">
            <w:pPr>
              <w:pStyle w:val="ESSPFigure"/>
              <w:keepNext w:val="0"/>
              <w:rPr>
                <w:rFonts w:ascii="Helvetica" w:hAnsi="Helvetica"/>
                <w:noProof w:val="0"/>
              </w:rPr>
            </w:pPr>
            <w:r>
              <w:rPr>
                <w:rFonts w:ascii="Helvetica" w:hAnsi="Helvetica"/>
                <w:noProof w:val="0"/>
              </w:rPr>
              <w:t>58</w:t>
            </w:r>
          </w:p>
        </w:tc>
        <w:tc>
          <w:tcPr>
            <w:tcW w:w="1310" w:type="dxa"/>
            <w:hideMark/>
          </w:tcPr>
          <w:p w14:paraId="3752A786" w14:textId="77777777" w:rsidR="00DB15E9" w:rsidRDefault="0078312E">
            <w:pPr>
              <w:pStyle w:val="ESSPFigure"/>
              <w:keepNext w:val="0"/>
              <w:rPr>
                <w:rFonts w:ascii="Helvetica" w:hAnsi="Helvetica"/>
                <w:noProof w:val="0"/>
              </w:rPr>
            </w:pPr>
            <w:r>
              <w:rPr>
                <w:rFonts w:ascii="Helvetica" w:hAnsi="Helvetica"/>
                <w:noProof w:val="0"/>
              </w:rPr>
              <w:t>7.93E+03</w:t>
            </w:r>
          </w:p>
        </w:tc>
        <w:tc>
          <w:tcPr>
            <w:tcW w:w="2057" w:type="dxa"/>
            <w:hideMark/>
          </w:tcPr>
          <w:p w14:paraId="78F186DC" w14:textId="77777777" w:rsidR="00DB15E9" w:rsidRDefault="0078312E">
            <w:pPr>
              <w:pStyle w:val="ESSPFigure"/>
              <w:keepNext w:val="0"/>
              <w:rPr>
                <w:rFonts w:ascii="Helvetica" w:hAnsi="Helvetica"/>
                <w:noProof w:val="0"/>
              </w:rPr>
            </w:pPr>
            <w:r>
              <w:rPr>
                <w:rFonts w:ascii="Helvetica" w:hAnsi="Helvetica"/>
                <w:noProof w:val="0"/>
              </w:rPr>
              <w:t>4.75E+01</w:t>
            </w:r>
          </w:p>
        </w:tc>
        <w:tc>
          <w:tcPr>
            <w:tcW w:w="1251" w:type="dxa"/>
            <w:hideMark/>
          </w:tcPr>
          <w:p w14:paraId="64CF9530" w14:textId="77777777" w:rsidR="00DB15E9" w:rsidRDefault="0078312E">
            <w:pPr>
              <w:pStyle w:val="ESSPFigure"/>
              <w:keepNext w:val="0"/>
              <w:rPr>
                <w:rFonts w:ascii="Helvetica" w:hAnsi="Helvetica"/>
                <w:noProof w:val="0"/>
              </w:rPr>
            </w:pPr>
            <w:r>
              <w:rPr>
                <w:rFonts w:ascii="Helvetica" w:hAnsi="Helvetica"/>
                <w:noProof w:val="0"/>
              </w:rPr>
              <w:t>1.89E+03</w:t>
            </w:r>
          </w:p>
        </w:tc>
        <w:tc>
          <w:tcPr>
            <w:tcW w:w="1251" w:type="dxa"/>
            <w:hideMark/>
          </w:tcPr>
          <w:p w14:paraId="0A9B489A" w14:textId="77777777" w:rsidR="00DB15E9" w:rsidRDefault="0078312E">
            <w:pPr>
              <w:pStyle w:val="ESSPFigure"/>
              <w:keepNext w:val="0"/>
              <w:rPr>
                <w:rFonts w:ascii="Helvetica" w:hAnsi="Helvetica"/>
                <w:noProof w:val="0"/>
              </w:rPr>
            </w:pPr>
            <w:r>
              <w:rPr>
                <w:rFonts w:ascii="Helvetica" w:hAnsi="Helvetica"/>
                <w:noProof w:val="0"/>
              </w:rPr>
              <w:t>1.47E+03</w:t>
            </w:r>
          </w:p>
        </w:tc>
        <w:tc>
          <w:tcPr>
            <w:tcW w:w="1251" w:type="dxa"/>
            <w:hideMark/>
          </w:tcPr>
          <w:p w14:paraId="023D0095" w14:textId="77777777" w:rsidR="00DB15E9" w:rsidRDefault="0078312E">
            <w:pPr>
              <w:pStyle w:val="ESSPFigure"/>
              <w:keepNext w:val="0"/>
              <w:rPr>
                <w:noProof w:val="0"/>
              </w:rPr>
            </w:pPr>
            <w:r>
              <w:rPr>
                <w:rFonts w:ascii="Helvetica" w:hAnsi="Helvetica"/>
                <w:noProof w:val="0"/>
              </w:rPr>
              <w:t>1.13E+04</w:t>
            </w:r>
          </w:p>
        </w:tc>
      </w:tr>
      <w:tr w:rsidR="00DB15E9" w14:paraId="7DAF5D99" w14:textId="77777777" w:rsidTr="00DB15E9">
        <w:trPr>
          <w:trHeight w:val="300"/>
        </w:trPr>
        <w:tc>
          <w:tcPr>
            <w:tcW w:w="1390" w:type="dxa"/>
            <w:hideMark/>
          </w:tcPr>
          <w:p w14:paraId="76FFFDA2" w14:textId="77777777" w:rsidR="00DB15E9" w:rsidRDefault="0078312E">
            <w:pPr>
              <w:pStyle w:val="ESSPFigure"/>
              <w:keepNext w:val="0"/>
              <w:rPr>
                <w:rFonts w:ascii="Helvetica" w:hAnsi="Helvetica"/>
                <w:noProof w:val="0"/>
              </w:rPr>
            </w:pPr>
            <w:r>
              <w:rPr>
                <w:rFonts w:ascii="Helvetica" w:hAnsi="Helvetica"/>
                <w:noProof w:val="0"/>
              </w:rPr>
              <w:t>73</w:t>
            </w:r>
          </w:p>
        </w:tc>
        <w:tc>
          <w:tcPr>
            <w:tcW w:w="1310" w:type="dxa"/>
            <w:hideMark/>
          </w:tcPr>
          <w:p w14:paraId="55B21E38" w14:textId="77777777" w:rsidR="00DB15E9" w:rsidRDefault="0078312E">
            <w:pPr>
              <w:pStyle w:val="ESSPFigure"/>
              <w:keepNext w:val="0"/>
              <w:rPr>
                <w:rFonts w:ascii="Helvetica" w:hAnsi="Helvetica"/>
                <w:noProof w:val="0"/>
              </w:rPr>
            </w:pPr>
            <w:r>
              <w:rPr>
                <w:rFonts w:ascii="Helvetica" w:hAnsi="Helvetica"/>
                <w:noProof w:val="0"/>
              </w:rPr>
              <w:t>5.24E+03</w:t>
            </w:r>
          </w:p>
        </w:tc>
        <w:tc>
          <w:tcPr>
            <w:tcW w:w="2057" w:type="dxa"/>
            <w:hideMark/>
          </w:tcPr>
          <w:p w14:paraId="2D3E399D" w14:textId="77777777" w:rsidR="00DB15E9" w:rsidRDefault="0078312E">
            <w:pPr>
              <w:pStyle w:val="ESSPFigure"/>
              <w:keepNext w:val="0"/>
              <w:rPr>
                <w:rFonts w:ascii="Helvetica" w:hAnsi="Helvetica"/>
                <w:noProof w:val="0"/>
              </w:rPr>
            </w:pPr>
            <w:r>
              <w:rPr>
                <w:rFonts w:ascii="Helvetica" w:hAnsi="Helvetica"/>
                <w:noProof w:val="0"/>
              </w:rPr>
              <w:t>3.71E+01</w:t>
            </w:r>
          </w:p>
        </w:tc>
        <w:tc>
          <w:tcPr>
            <w:tcW w:w="1251" w:type="dxa"/>
            <w:hideMark/>
          </w:tcPr>
          <w:p w14:paraId="47350BC2" w14:textId="77777777" w:rsidR="00DB15E9" w:rsidRDefault="0078312E">
            <w:pPr>
              <w:pStyle w:val="ESSPFigure"/>
              <w:keepNext w:val="0"/>
              <w:rPr>
                <w:rFonts w:ascii="Helvetica" w:hAnsi="Helvetica"/>
                <w:noProof w:val="0"/>
              </w:rPr>
            </w:pPr>
            <w:r>
              <w:rPr>
                <w:rFonts w:ascii="Helvetica" w:hAnsi="Helvetica"/>
                <w:noProof w:val="0"/>
              </w:rPr>
              <w:t>1.70E+03</w:t>
            </w:r>
          </w:p>
        </w:tc>
        <w:tc>
          <w:tcPr>
            <w:tcW w:w="1251" w:type="dxa"/>
            <w:hideMark/>
          </w:tcPr>
          <w:p w14:paraId="5910F581" w14:textId="77777777" w:rsidR="00DB15E9" w:rsidRDefault="0078312E">
            <w:pPr>
              <w:pStyle w:val="ESSPFigure"/>
              <w:keepNext w:val="0"/>
              <w:rPr>
                <w:rFonts w:ascii="Helvetica" w:hAnsi="Helvetica"/>
                <w:noProof w:val="0"/>
              </w:rPr>
            </w:pPr>
            <w:r>
              <w:rPr>
                <w:rFonts w:ascii="Helvetica" w:hAnsi="Helvetica"/>
                <w:noProof w:val="0"/>
              </w:rPr>
              <w:t>1.14E+03</w:t>
            </w:r>
          </w:p>
        </w:tc>
        <w:tc>
          <w:tcPr>
            <w:tcW w:w="1251" w:type="dxa"/>
            <w:hideMark/>
          </w:tcPr>
          <w:p w14:paraId="7AA74282" w14:textId="77777777" w:rsidR="00DB15E9" w:rsidRDefault="0078312E">
            <w:pPr>
              <w:pStyle w:val="ESSPFigure"/>
              <w:keepNext w:val="0"/>
              <w:rPr>
                <w:noProof w:val="0"/>
              </w:rPr>
            </w:pPr>
            <w:r>
              <w:rPr>
                <w:rFonts w:ascii="Helvetica" w:hAnsi="Helvetica"/>
                <w:noProof w:val="0"/>
              </w:rPr>
              <w:t>8.12E+03</w:t>
            </w:r>
          </w:p>
        </w:tc>
      </w:tr>
      <w:tr w:rsidR="00DB15E9" w14:paraId="2993F705" w14:textId="77777777" w:rsidTr="00DB15E9">
        <w:trPr>
          <w:trHeight w:val="300"/>
        </w:trPr>
        <w:tc>
          <w:tcPr>
            <w:tcW w:w="1390" w:type="dxa"/>
            <w:hideMark/>
          </w:tcPr>
          <w:p w14:paraId="4BA6B7D5" w14:textId="77777777" w:rsidR="00DB15E9" w:rsidRDefault="0078312E">
            <w:pPr>
              <w:pStyle w:val="ESSPFigure"/>
              <w:keepNext w:val="0"/>
              <w:rPr>
                <w:rFonts w:ascii="Helvetica" w:hAnsi="Helvetica"/>
                <w:noProof w:val="0"/>
              </w:rPr>
            </w:pPr>
            <w:r>
              <w:rPr>
                <w:rFonts w:ascii="Helvetica" w:hAnsi="Helvetica"/>
                <w:noProof w:val="0"/>
              </w:rPr>
              <w:t>87</w:t>
            </w:r>
          </w:p>
        </w:tc>
        <w:tc>
          <w:tcPr>
            <w:tcW w:w="1310" w:type="dxa"/>
            <w:hideMark/>
          </w:tcPr>
          <w:p w14:paraId="55E74CF4" w14:textId="77777777" w:rsidR="00DB15E9" w:rsidRDefault="0078312E">
            <w:pPr>
              <w:pStyle w:val="ESSPFigure"/>
              <w:keepNext w:val="0"/>
              <w:rPr>
                <w:rFonts w:ascii="Helvetica" w:hAnsi="Helvetica"/>
                <w:noProof w:val="0"/>
              </w:rPr>
            </w:pPr>
            <w:r>
              <w:rPr>
                <w:rFonts w:ascii="Helvetica" w:hAnsi="Helvetica"/>
                <w:noProof w:val="0"/>
              </w:rPr>
              <w:t>3.66E+03</w:t>
            </w:r>
          </w:p>
        </w:tc>
        <w:tc>
          <w:tcPr>
            <w:tcW w:w="2057" w:type="dxa"/>
            <w:hideMark/>
          </w:tcPr>
          <w:p w14:paraId="25802008" w14:textId="77777777" w:rsidR="00DB15E9" w:rsidRDefault="0078312E">
            <w:pPr>
              <w:pStyle w:val="ESSPFigure"/>
              <w:keepNext w:val="0"/>
              <w:rPr>
                <w:rFonts w:ascii="Helvetica" w:hAnsi="Helvetica"/>
                <w:noProof w:val="0"/>
              </w:rPr>
            </w:pPr>
            <w:r>
              <w:rPr>
                <w:rFonts w:ascii="Helvetica" w:hAnsi="Helvetica"/>
                <w:noProof w:val="0"/>
              </w:rPr>
              <w:t>3.06E+01</w:t>
            </w:r>
          </w:p>
        </w:tc>
        <w:tc>
          <w:tcPr>
            <w:tcW w:w="1251" w:type="dxa"/>
            <w:hideMark/>
          </w:tcPr>
          <w:p w14:paraId="3F59A241" w14:textId="77777777" w:rsidR="00DB15E9" w:rsidRDefault="0078312E">
            <w:pPr>
              <w:pStyle w:val="ESSPFigure"/>
              <w:keepNext w:val="0"/>
              <w:rPr>
                <w:rFonts w:ascii="Helvetica" w:hAnsi="Helvetica"/>
                <w:noProof w:val="0"/>
              </w:rPr>
            </w:pPr>
            <w:r>
              <w:rPr>
                <w:rFonts w:ascii="Helvetica" w:hAnsi="Helvetica"/>
                <w:noProof w:val="0"/>
              </w:rPr>
              <w:t>1.57E+03</w:t>
            </w:r>
          </w:p>
        </w:tc>
        <w:tc>
          <w:tcPr>
            <w:tcW w:w="1251" w:type="dxa"/>
            <w:hideMark/>
          </w:tcPr>
          <w:p w14:paraId="6CB27F29" w14:textId="77777777" w:rsidR="00DB15E9" w:rsidRDefault="0078312E">
            <w:pPr>
              <w:pStyle w:val="ESSPFigure"/>
              <w:keepNext w:val="0"/>
              <w:rPr>
                <w:rFonts w:ascii="Helvetica" w:hAnsi="Helvetica"/>
                <w:noProof w:val="0"/>
              </w:rPr>
            </w:pPr>
            <w:r>
              <w:rPr>
                <w:rFonts w:ascii="Helvetica" w:hAnsi="Helvetica"/>
                <w:noProof w:val="0"/>
              </w:rPr>
              <w:t>9.30E+02</w:t>
            </w:r>
          </w:p>
        </w:tc>
        <w:tc>
          <w:tcPr>
            <w:tcW w:w="1251" w:type="dxa"/>
            <w:hideMark/>
          </w:tcPr>
          <w:p w14:paraId="16C54926" w14:textId="77777777" w:rsidR="00DB15E9" w:rsidRDefault="0078312E">
            <w:pPr>
              <w:pStyle w:val="ESSPFigure"/>
              <w:keepNext w:val="0"/>
              <w:rPr>
                <w:noProof w:val="0"/>
              </w:rPr>
            </w:pPr>
            <w:r>
              <w:rPr>
                <w:rFonts w:ascii="Helvetica" w:hAnsi="Helvetica"/>
                <w:noProof w:val="0"/>
              </w:rPr>
              <w:t>6.19E+03</w:t>
            </w:r>
          </w:p>
        </w:tc>
      </w:tr>
      <w:tr w:rsidR="00DB15E9" w14:paraId="6CC7723D" w14:textId="77777777" w:rsidTr="00DB15E9">
        <w:trPr>
          <w:trHeight w:val="300"/>
        </w:trPr>
        <w:tc>
          <w:tcPr>
            <w:tcW w:w="1390" w:type="dxa"/>
            <w:hideMark/>
          </w:tcPr>
          <w:p w14:paraId="2C7847D8" w14:textId="77777777" w:rsidR="00DB15E9" w:rsidRDefault="0078312E">
            <w:pPr>
              <w:pStyle w:val="ESSPFigure"/>
              <w:keepNext w:val="0"/>
              <w:rPr>
                <w:rFonts w:ascii="Helvetica" w:hAnsi="Helvetica"/>
                <w:noProof w:val="0"/>
              </w:rPr>
            </w:pPr>
            <w:r>
              <w:rPr>
                <w:rFonts w:ascii="Helvetica" w:hAnsi="Helvetica"/>
                <w:noProof w:val="0"/>
              </w:rPr>
              <w:t>117</w:t>
            </w:r>
          </w:p>
        </w:tc>
        <w:tc>
          <w:tcPr>
            <w:tcW w:w="1310" w:type="dxa"/>
            <w:hideMark/>
          </w:tcPr>
          <w:p w14:paraId="1D68F8D2" w14:textId="77777777" w:rsidR="00DB15E9" w:rsidRDefault="0078312E">
            <w:pPr>
              <w:pStyle w:val="ESSPFigure"/>
              <w:keepNext w:val="0"/>
              <w:rPr>
                <w:rFonts w:ascii="Helvetica" w:hAnsi="Helvetica"/>
                <w:noProof w:val="0"/>
              </w:rPr>
            </w:pPr>
            <w:r>
              <w:rPr>
                <w:rFonts w:ascii="Helvetica" w:hAnsi="Helvetica"/>
                <w:noProof w:val="0"/>
              </w:rPr>
              <w:t>1.81E+03</w:t>
            </w:r>
          </w:p>
        </w:tc>
        <w:tc>
          <w:tcPr>
            <w:tcW w:w="2057" w:type="dxa"/>
            <w:hideMark/>
          </w:tcPr>
          <w:p w14:paraId="5F1E517A" w14:textId="77777777" w:rsidR="00DB15E9" w:rsidRDefault="0078312E">
            <w:pPr>
              <w:pStyle w:val="ESSPFigure"/>
              <w:keepNext w:val="0"/>
              <w:rPr>
                <w:rFonts w:ascii="Helvetica" w:hAnsi="Helvetica"/>
                <w:noProof w:val="0"/>
              </w:rPr>
            </w:pPr>
            <w:r>
              <w:rPr>
                <w:rFonts w:ascii="Helvetica" w:hAnsi="Helvetica"/>
                <w:noProof w:val="0"/>
              </w:rPr>
              <w:t>2.22E+01</w:t>
            </w:r>
          </w:p>
        </w:tc>
        <w:tc>
          <w:tcPr>
            <w:tcW w:w="1251" w:type="dxa"/>
            <w:hideMark/>
          </w:tcPr>
          <w:p w14:paraId="29289036" w14:textId="77777777" w:rsidR="00DB15E9" w:rsidRDefault="0078312E">
            <w:pPr>
              <w:pStyle w:val="ESSPFigure"/>
              <w:keepNext w:val="0"/>
              <w:rPr>
                <w:rFonts w:ascii="Helvetica" w:hAnsi="Helvetica"/>
                <w:noProof w:val="0"/>
              </w:rPr>
            </w:pPr>
            <w:r>
              <w:rPr>
                <w:rFonts w:ascii="Helvetica" w:hAnsi="Helvetica"/>
                <w:noProof w:val="0"/>
              </w:rPr>
              <w:t>1.39E+03</w:t>
            </w:r>
          </w:p>
        </w:tc>
        <w:tc>
          <w:tcPr>
            <w:tcW w:w="1251" w:type="dxa"/>
            <w:hideMark/>
          </w:tcPr>
          <w:p w14:paraId="143127C2" w14:textId="77777777" w:rsidR="00DB15E9" w:rsidRDefault="0078312E">
            <w:pPr>
              <w:pStyle w:val="ESSPFigure"/>
              <w:keepNext w:val="0"/>
              <w:rPr>
                <w:rFonts w:ascii="Helvetica" w:hAnsi="Helvetica"/>
                <w:noProof w:val="0"/>
              </w:rPr>
            </w:pPr>
            <w:r>
              <w:rPr>
                <w:rFonts w:ascii="Helvetica" w:hAnsi="Helvetica"/>
                <w:noProof w:val="0"/>
              </w:rPr>
              <w:t>6.40E+02</w:t>
            </w:r>
          </w:p>
        </w:tc>
        <w:tc>
          <w:tcPr>
            <w:tcW w:w="1251" w:type="dxa"/>
            <w:hideMark/>
          </w:tcPr>
          <w:p w14:paraId="3CCF0389" w14:textId="77777777" w:rsidR="00DB15E9" w:rsidRDefault="0078312E">
            <w:pPr>
              <w:pStyle w:val="ESSPFigure"/>
              <w:keepNext w:val="0"/>
              <w:rPr>
                <w:noProof w:val="0"/>
              </w:rPr>
            </w:pPr>
            <w:r>
              <w:rPr>
                <w:rFonts w:ascii="Helvetica" w:hAnsi="Helvetica"/>
                <w:noProof w:val="0"/>
              </w:rPr>
              <w:t>3.86E+03</w:t>
            </w:r>
          </w:p>
        </w:tc>
      </w:tr>
      <w:tr w:rsidR="00DB15E9" w14:paraId="69005868" w14:textId="77777777" w:rsidTr="00DB15E9">
        <w:trPr>
          <w:trHeight w:val="300"/>
        </w:trPr>
        <w:tc>
          <w:tcPr>
            <w:tcW w:w="1390" w:type="dxa"/>
            <w:hideMark/>
          </w:tcPr>
          <w:p w14:paraId="3A767556" w14:textId="77777777" w:rsidR="00DB15E9" w:rsidRDefault="0078312E">
            <w:pPr>
              <w:pStyle w:val="ESSPFigure"/>
              <w:keepNext w:val="0"/>
              <w:rPr>
                <w:rFonts w:ascii="Helvetica" w:hAnsi="Helvetica"/>
                <w:noProof w:val="0"/>
              </w:rPr>
            </w:pPr>
            <w:r>
              <w:rPr>
                <w:rFonts w:ascii="Helvetica" w:hAnsi="Helvetica"/>
                <w:noProof w:val="0"/>
              </w:rPr>
              <w:t>146</w:t>
            </w:r>
          </w:p>
        </w:tc>
        <w:tc>
          <w:tcPr>
            <w:tcW w:w="1310" w:type="dxa"/>
            <w:hideMark/>
          </w:tcPr>
          <w:p w14:paraId="6D8042B9" w14:textId="77777777" w:rsidR="00DB15E9" w:rsidRDefault="0078312E">
            <w:pPr>
              <w:pStyle w:val="ESSPFigure"/>
              <w:keepNext w:val="0"/>
              <w:rPr>
                <w:rFonts w:ascii="Helvetica" w:hAnsi="Helvetica"/>
                <w:noProof w:val="0"/>
              </w:rPr>
            </w:pPr>
            <w:r>
              <w:rPr>
                <w:rFonts w:ascii="Helvetica" w:hAnsi="Helvetica"/>
                <w:noProof w:val="0"/>
              </w:rPr>
              <w:t>9.59E+02</w:t>
            </w:r>
          </w:p>
        </w:tc>
        <w:tc>
          <w:tcPr>
            <w:tcW w:w="2057" w:type="dxa"/>
            <w:hideMark/>
          </w:tcPr>
          <w:p w14:paraId="6C8CB548" w14:textId="77777777" w:rsidR="00DB15E9" w:rsidRDefault="0078312E">
            <w:pPr>
              <w:pStyle w:val="ESSPFigure"/>
              <w:keepNext w:val="0"/>
              <w:rPr>
                <w:rFonts w:ascii="Helvetica" w:hAnsi="Helvetica"/>
                <w:noProof w:val="0"/>
              </w:rPr>
            </w:pPr>
            <w:r>
              <w:rPr>
                <w:rFonts w:ascii="Helvetica" w:hAnsi="Helvetica"/>
                <w:noProof w:val="0"/>
              </w:rPr>
              <w:t>1.76E+01</w:t>
            </w:r>
          </w:p>
        </w:tc>
        <w:tc>
          <w:tcPr>
            <w:tcW w:w="1251" w:type="dxa"/>
            <w:hideMark/>
          </w:tcPr>
          <w:p w14:paraId="6D137195" w14:textId="77777777" w:rsidR="00DB15E9" w:rsidRDefault="0078312E">
            <w:pPr>
              <w:pStyle w:val="ESSPFigure"/>
              <w:keepNext w:val="0"/>
              <w:rPr>
                <w:rFonts w:ascii="Helvetica" w:hAnsi="Helvetica"/>
                <w:noProof w:val="0"/>
              </w:rPr>
            </w:pPr>
            <w:r>
              <w:rPr>
                <w:rFonts w:ascii="Helvetica" w:hAnsi="Helvetica"/>
                <w:noProof w:val="0"/>
              </w:rPr>
              <w:t>1.28E+03</w:t>
            </w:r>
          </w:p>
        </w:tc>
        <w:tc>
          <w:tcPr>
            <w:tcW w:w="1251" w:type="dxa"/>
            <w:hideMark/>
          </w:tcPr>
          <w:p w14:paraId="1DF946A9" w14:textId="77777777" w:rsidR="00DB15E9" w:rsidRDefault="0078312E">
            <w:pPr>
              <w:pStyle w:val="ESSPFigure"/>
              <w:keepNext w:val="0"/>
              <w:rPr>
                <w:rFonts w:ascii="Helvetica" w:hAnsi="Helvetica"/>
                <w:noProof w:val="0"/>
              </w:rPr>
            </w:pPr>
            <w:r>
              <w:rPr>
                <w:rFonts w:ascii="Helvetica" w:hAnsi="Helvetica"/>
                <w:noProof w:val="0"/>
              </w:rPr>
              <w:t>4.52E+02</w:t>
            </w:r>
          </w:p>
        </w:tc>
        <w:tc>
          <w:tcPr>
            <w:tcW w:w="1251" w:type="dxa"/>
            <w:hideMark/>
          </w:tcPr>
          <w:p w14:paraId="7F1879AA" w14:textId="77777777" w:rsidR="00DB15E9" w:rsidRDefault="0078312E">
            <w:pPr>
              <w:pStyle w:val="ESSPFigure"/>
              <w:keepNext w:val="0"/>
              <w:rPr>
                <w:noProof w:val="0"/>
              </w:rPr>
            </w:pPr>
            <w:r>
              <w:rPr>
                <w:rFonts w:ascii="Helvetica" w:hAnsi="Helvetica"/>
                <w:noProof w:val="0"/>
              </w:rPr>
              <w:t>2.71E+03</w:t>
            </w:r>
          </w:p>
        </w:tc>
      </w:tr>
      <w:tr w:rsidR="00DB15E9" w14:paraId="2EF2600B" w14:textId="77777777" w:rsidTr="00DB15E9">
        <w:trPr>
          <w:trHeight w:val="300"/>
        </w:trPr>
        <w:tc>
          <w:tcPr>
            <w:tcW w:w="1390" w:type="dxa"/>
            <w:hideMark/>
          </w:tcPr>
          <w:p w14:paraId="4D4C6C1E" w14:textId="77777777" w:rsidR="00DB15E9" w:rsidRDefault="0078312E">
            <w:pPr>
              <w:pStyle w:val="ESSPFigure"/>
              <w:keepNext w:val="0"/>
              <w:rPr>
                <w:rFonts w:ascii="Helvetica" w:hAnsi="Helvetica"/>
                <w:noProof w:val="0"/>
              </w:rPr>
            </w:pPr>
            <w:r>
              <w:rPr>
                <w:rFonts w:ascii="Helvetica" w:hAnsi="Helvetica"/>
                <w:noProof w:val="0"/>
              </w:rPr>
              <w:t>182</w:t>
            </w:r>
          </w:p>
        </w:tc>
        <w:tc>
          <w:tcPr>
            <w:tcW w:w="1310" w:type="dxa"/>
            <w:hideMark/>
          </w:tcPr>
          <w:p w14:paraId="07DC88AE" w14:textId="77777777" w:rsidR="00DB15E9" w:rsidRDefault="0078312E">
            <w:pPr>
              <w:pStyle w:val="ESSPFigure"/>
              <w:keepNext w:val="0"/>
              <w:rPr>
                <w:rFonts w:ascii="Helvetica" w:hAnsi="Helvetica"/>
                <w:noProof w:val="0"/>
              </w:rPr>
            </w:pPr>
            <w:r>
              <w:rPr>
                <w:rFonts w:ascii="Helvetica" w:hAnsi="Helvetica"/>
                <w:noProof w:val="0"/>
              </w:rPr>
              <w:t>4.38E+02</w:t>
            </w:r>
          </w:p>
        </w:tc>
        <w:tc>
          <w:tcPr>
            <w:tcW w:w="2057" w:type="dxa"/>
            <w:hideMark/>
          </w:tcPr>
          <w:p w14:paraId="32741D28" w14:textId="77777777" w:rsidR="00DB15E9" w:rsidRDefault="0078312E">
            <w:pPr>
              <w:pStyle w:val="ESSPFigure"/>
              <w:keepNext w:val="0"/>
              <w:rPr>
                <w:rFonts w:ascii="Helvetica" w:hAnsi="Helvetica"/>
                <w:noProof w:val="0"/>
              </w:rPr>
            </w:pPr>
            <w:r>
              <w:rPr>
                <w:rFonts w:ascii="Helvetica" w:hAnsi="Helvetica"/>
                <w:noProof w:val="0"/>
              </w:rPr>
              <w:t>1.40E+01</w:t>
            </w:r>
          </w:p>
        </w:tc>
        <w:tc>
          <w:tcPr>
            <w:tcW w:w="1251" w:type="dxa"/>
            <w:hideMark/>
          </w:tcPr>
          <w:p w14:paraId="2B8F45E0" w14:textId="77777777" w:rsidR="00DB15E9" w:rsidRDefault="0078312E">
            <w:pPr>
              <w:pStyle w:val="ESSPFigure"/>
              <w:keepNext w:val="0"/>
              <w:rPr>
                <w:rFonts w:ascii="Helvetica" w:hAnsi="Helvetica"/>
                <w:noProof w:val="0"/>
              </w:rPr>
            </w:pPr>
            <w:r>
              <w:rPr>
                <w:rFonts w:ascii="Helvetica" w:hAnsi="Helvetica"/>
                <w:noProof w:val="0"/>
              </w:rPr>
              <w:t>1.19E+03</w:t>
            </w:r>
          </w:p>
        </w:tc>
        <w:tc>
          <w:tcPr>
            <w:tcW w:w="1251" w:type="dxa"/>
            <w:hideMark/>
          </w:tcPr>
          <w:p w14:paraId="32785AA6" w14:textId="77777777" w:rsidR="00DB15E9" w:rsidRDefault="0078312E">
            <w:pPr>
              <w:pStyle w:val="ESSPFigure"/>
              <w:keepNext w:val="0"/>
              <w:rPr>
                <w:rFonts w:ascii="Helvetica" w:hAnsi="Helvetica"/>
                <w:noProof w:val="0"/>
              </w:rPr>
            </w:pPr>
            <w:r>
              <w:rPr>
                <w:rFonts w:ascii="Helvetica" w:hAnsi="Helvetica"/>
                <w:noProof w:val="0"/>
              </w:rPr>
              <w:t>3.13E+02</w:t>
            </w:r>
          </w:p>
        </w:tc>
        <w:tc>
          <w:tcPr>
            <w:tcW w:w="1251" w:type="dxa"/>
            <w:hideMark/>
          </w:tcPr>
          <w:p w14:paraId="4E3A5597" w14:textId="77777777" w:rsidR="00DB15E9" w:rsidRDefault="0078312E">
            <w:pPr>
              <w:pStyle w:val="ESSPFigure"/>
              <w:keepNext w:val="0"/>
              <w:rPr>
                <w:noProof w:val="0"/>
              </w:rPr>
            </w:pPr>
            <w:r>
              <w:rPr>
                <w:rFonts w:ascii="Helvetica" w:hAnsi="Helvetica"/>
                <w:noProof w:val="0"/>
              </w:rPr>
              <w:t>1.95E+03</w:t>
            </w:r>
          </w:p>
        </w:tc>
      </w:tr>
      <w:tr w:rsidR="00DB15E9" w14:paraId="61492EB1" w14:textId="77777777" w:rsidTr="00DB15E9">
        <w:trPr>
          <w:trHeight w:val="300"/>
        </w:trPr>
        <w:tc>
          <w:tcPr>
            <w:tcW w:w="1390" w:type="dxa"/>
            <w:hideMark/>
          </w:tcPr>
          <w:p w14:paraId="235B45D6" w14:textId="77777777" w:rsidR="00DB15E9" w:rsidRDefault="0078312E">
            <w:pPr>
              <w:pStyle w:val="ESSPFigure"/>
              <w:keepNext w:val="0"/>
              <w:rPr>
                <w:rFonts w:ascii="Helvetica" w:hAnsi="Helvetica"/>
                <w:noProof w:val="0"/>
              </w:rPr>
            </w:pPr>
            <w:r>
              <w:rPr>
                <w:rFonts w:ascii="Helvetica" w:hAnsi="Helvetica"/>
                <w:noProof w:val="0"/>
              </w:rPr>
              <w:t>219</w:t>
            </w:r>
          </w:p>
        </w:tc>
        <w:tc>
          <w:tcPr>
            <w:tcW w:w="1310" w:type="dxa"/>
            <w:hideMark/>
          </w:tcPr>
          <w:p w14:paraId="7F92F349" w14:textId="77777777" w:rsidR="00DB15E9" w:rsidRDefault="0078312E">
            <w:pPr>
              <w:pStyle w:val="ESSPFigure"/>
              <w:keepNext w:val="0"/>
              <w:rPr>
                <w:rFonts w:ascii="Helvetica" w:hAnsi="Helvetica"/>
                <w:noProof w:val="0"/>
              </w:rPr>
            </w:pPr>
            <w:r>
              <w:rPr>
                <w:rFonts w:ascii="Helvetica" w:hAnsi="Helvetica"/>
                <w:noProof w:val="0"/>
              </w:rPr>
              <w:t>1.90E+02</w:t>
            </w:r>
          </w:p>
        </w:tc>
        <w:tc>
          <w:tcPr>
            <w:tcW w:w="2057" w:type="dxa"/>
            <w:hideMark/>
          </w:tcPr>
          <w:p w14:paraId="438C41D6" w14:textId="77777777" w:rsidR="00DB15E9" w:rsidRDefault="0078312E">
            <w:pPr>
              <w:pStyle w:val="ESSPFigure"/>
              <w:keepNext w:val="0"/>
              <w:rPr>
                <w:rFonts w:ascii="Helvetica" w:hAnsi="Helvetica"/>
                <w:noProof w:val="0"/>
              </w:rPr>
            </w:pPr>
            <w:r>
              <w:rPr>
                <w:rFonts w:ascii="Helvetica" w:hAnsi="Helvetica"/>
                <w:noProof w:val="0"/>
              </w:rPr>
              <w:t>1.17E+01</w:t>
            </w:r>
          </w:p>
        </w:tc>
        <w:tc>
          <w:tcPr>
            <w:tcW w:w="1251" w:type="dxa"/>
            <w:hideMark/>
          </w:tcPr>
          <w:p w14:paraId="76C69491" w14:textId="77777777" w:rsidR="00DB15E9" w:rsidRDefault="0078312E">
            <w:pPr>
              <w:pStyle w:val="ESSPFigure"/>
              <w:keepNext w:val="0"/>
              <w:rPr>
                <w:rFonts w:ascii="Helvetica" w:hAnsi="Helvetica"/>
                <w:noProof w:val="0"/>
              </w:rPr>
            </w:pPr>
            <w:r>
              <w:rPr>
                <w:rFonts w:ascii="Helvetica" w:hAnsi="Helvetica"/>
                <w:noProof w:val="0"/>
              </w:rPr>
              <w:t>1.12E+03</w:t>
            </w:r>
          </w:p>
        </w:tc>
        <w:tc>
          <w:tcPr>
            <w:tcW w:w="1251" w:type="dxa"/>
            <w:hideMark/>
          </w:tcPr>
          <w:p w14:paraId="3B3E791C" w14:textId="77777777" w:rsidR="00DB15E9" w:rsidRDefault="0078312E">
            <w:pPr>
              <w:pStyle w:val="ESSPFigure"/>
              <w:keepNext w:val="0"/>
              <w:rPr>
                <w:rFonts w:ascii="Helvetica" w:hAnsi="Helvetica"/>
                <w:noProof w:val="0"/>
              </w:rPr>
            </w:pPr>
            <w:r>
              <w:rPr>
                <w:rFonts w:ascii="Helvetica" w:hAnsi="Helvetica"/>
                <w:noProof w:val="0"/>
              </w:rPr>
              <w:t>2.47E+02</w:t>
            </w:r>
          </w:p>
        </w:tc>
        <w:tc>
          <w:tcPr>
            <w:tcW w:w="1251" w:type="dxa"/>
            <w:hideMark/>
          </w:tcPr>
          <w:p w14:paraId="66B8F984" w14:textId="77777777" w:rsidR="00DB15E9" w:rsidRDefault="0078312E">
            <w:pPr>
              <w:pStyle w:val="ESSPFigure"/>
              <w:keepNext w:val="0"/>
              <w:rPr>
                <w:noProof w:val="0"/>
              </w:rPr>
            </w:pPr>
            <w:r>
              <w:rPr>
                <w:rFonts w:ascii="Helvetica" w:hAnsi="Helvetica"/>
                <w:noProof w:val="0"/>
              </w:rPr>
              <w:t>1.56E+03</w:t>
            </w:r>
          </w:p>
        </w:tc>
      </w:tr>
      <w:tr w:rsidR="00DB15E9" w14:paraId="54030B66" w14:textId="77777777" w:rsidTr="00DB15E9">
        <w:trPr>
          <w:trHeight w:val="300"/>
        </w:trPr>
        <w:tc>
          <w:tcPr>
            <w:tcW w:w="1390" w:type="dxa"/>
            <w:hideMark/>
          </w:tcPr>
          <w:p w14:paraId="4F91322A" w14:textId="77777777" w:rsidR="00DB15E9" w:rsidRDefault="0078312E">
            <w:pPr>
              <w:pStyle w:val="ESSPFigure"/>
              <w:keepNext w:val="0"/>
              <w:rPr>
                <w:rFonts w:ascii="Helvetica" w:hAnsi="Helvetica"/>
                <w:noProof w:val="0"/>
              </w:rPr>
            </w:pPr>
            <w:r>
              <w:rPr>
                <w:rFonts w:ascii="Helvetica" w:hAnsi="Helvetica"/>
                <w:noProof w:val="0"/>
              </w:rPr>
              <w:t>255</w:t>
            </w:r>
          </w:p>
        </w:tc>
        <w:tc>
          <w:tcPr>
            <w:tcW w:w="1310" w:type="dxa"/>
            <w:hideMark/>
          </w:tcPr>
          <w:p w14:paraId="103E4463" w14:textId="77777777" w:rsidR="00DB15E9" w:rsidRDefault="0078312E">
            <w:pPr>
              <w:pStyle w:val="ESSPFigure"/>
              <w:keepNext w:val="0"/>
              <w:rPr>
                <w:rFonts w:ascii="Helvetica" w:hAnsi="Helvetica"/>
                <w:noProof w:val="0"/>
              </w:rPr>
            </w:pPr>
            <w:r>
              <w:rPr>
                <w:rFonts w:ascii="Helvetica" w:hAnsi="Helvetica"/>
                <w:noProof w:val="0"/>
              </w:rPr>
              <w:t>8.38E+01</w:t>
            </w:r>
          </w:p>
        </w:tc>
        <w:tc>
          <w:tcPr>
            <w:tcW w:w="2057" w:type="dxa"/>
            <w:hideMark/>
          </w:tcPr>
          <w:p w14:paraId="3FD2363F" w14:textId="77777777" w:rsidR="00DB15E9" w:rsidRDefault="0078312E">
            <w:pPr>
              <w:pStyle w:val="ESSPFigure"/>
              <w:keepNext w:val="0"/>
              <w:rPr>
                <w:rFonts w:ascii="Helvetica" w:hAnsi="Helvetica"/>
                <w:noProof w:val="0"/>
              </w:rPr>
            </w:pPr>
            <w:r>
              <w:rPr>
                <w:rFonts w:ascii="Helvetica" w:hAnsi="Helvetica"/>
                <w:noProof w:val="0"/>
              </w:rPr>
              <w:t>1.01E+01</w:t>
            </w:r>
          </w:p>
        </w:tc>
        <w:tc>
          <w:tcPr>
            <w:tcW w:w="1251" w:type="dxa"/>
            <w:hideMark/>
          </w:tcPr>
          <w:p w14:paraId="7E77F622" w14:textId="77777777" w:rsidR="00DB15E9" w:rsidRDefault="0078312E">
            <w:pPr>
              <w:pStyle w:val="ESSPFigure"/>
              <w:keepNext w:val="0"/>
              <w:rPr>
                <w:rFonts w:ascii="Helvetica" w:hAnsi="Helvetica"/>
                <w:noProof w:val="0"/>
              </w:rPr>
            </w:pPr>
            <w:r>
              <w:rPr>
                <w:rFonts w:ascii="Helvetica" w:hAnsi="Helvetica"/>
                <w:noProof w:val="0"/>
              </w:rPr>
              <w:t>1.06E+03</w:t>
            </w:r>
          </w:p>
        </w:tc>
        <w:tc>
          <w:tcPr>
            <w:tcW w:w="1251" w:type="dxa"/>
            <w:hideMark/>
          </w:tcPr>
          <w:p w14:paraId="5B2A8217" w14:textId="77777777" w:rsidR="00DB15E9" w:rsidRDefault="0078312E">
            <w:pPr>
              <w:pStyle w:val="ESSPFigure"/>
              <w:keepNext w:val="0"/>
              <w:rPr>
                <w:rFonts w:ascii="Helvetica" w:hAnsi="Helvetica"/>
                <w:noProof w:val="0"/>
              </w:rPr>
            </w:pPr>
            <w:r>
              <w:rPr>
                <w:rFonts w:ascii="Helvetica" w:hAnsi="Helvetica"/>
                <w:noProof w:val="0"/>
              </w:rPr>
              <w:t>2.20E+02</w:t>
            </w:r>
          </w:p>
        </w:tc>
        <w:tc>
          <w:tcPr>
            <w:tcW w:w="1251" w:type="dxa"/>
            <w:hideMark/>
          </w:tcPr>
          <w:p w14:paraId="08CDA36C" w14:textId="77777777" w:rsidR="00DB15E9" w:rsidRDefault="0078312E">
            <w:pPr>
              <w:pStyle w:val="ESSPFigure"/>
              <w:keepNext w:val="0"/>
              <w:rPr>
                <w:noProof w:val="0"/>
              </w:rPr>
            </w:pPr>
            <w:r>
              <w:rPr>
                <w:rFonts w:ascii="Helvetica" w:hAnsi="Helvetica"/>
                <w:noProof w:val="0"/>
              </w:rPr>
              <w:t>1.38E+03</w:t>
            </w:r>
          </w:p>
        </w:tc>
      </w:tr>
      <w:tr w:rsidR="00DB15E9" w14:paraId="336E6F06" w14:textId="77777777" w:rsidTr="00DB15E9">
        <w:trPr>
          <w:trHeight w:val="300"/>
        </w:trPr>
        <w:tc>
          <w:tcPr>
            <w:tcW w:w="1390" w:type="dxa"/>
            <w:hideMark/>
          </w:tcPr>
          <w:p w14:paraId="13D9257E" w14:textId="77777777" w:rsidR="00DB15E9" w:rsidRDefault="0078312E">
            <w:pPr>
              <w:pStyle w:val="ESSPFigure"/>
              <w:keepNext w:val="0"/>
              <w:rPr>
                <w:rFonts w:ascii="Helvetica" w:hAnsi="Helvetica"/>
                <w:noProof w:val="0"/>
              </w:rPr>
            </w:pPr>
            <w:r>
              <w:rPr>
                <w:rFonts w:ascii="Helvetica" w:hAnsi="Helvetica"/>
                <w:noProof w:val="0"/>
              </w:rPr>
              <w:t>292</w:t>
            </w:r>
          </w:p>
        </w:tc>
        <w:tc>
          <w:tcPr>
            <w:tcW w:w="1310" w:type="dxa"/>
            <w:hideMark/>
          </w:tcPr>
          <w:p w14:paraId="0C8019A9" w14:textId="77777777" w:rsidR="00DB15E9" w:rsidRDefault="0078312E">
            <w:pPr>
              <w:pStyle w:val="ESSPFigure"/>
              <w:keepNext w:val="0"/>
              <w:rPr>
                <w:rFonts w:ascii="Helvetica" w:hAnsi="Helvetica"/>
                <w:noProof w:val="0"/>
              </w:rPr>
            </w:pPr>
            <w:r>
              <w:rPr>
                <w:rFonts w:ascii="Helvetica" w:hAnsi="Helvetica"/>
                <w:noProof w:val="0"/>
              </w:rPr>
              <w:t>3.55E+01</w:t>
            </w:r>
          </w:p>
        </w:tc>
        <w:tc>
          <w:tcPr>
            <w:tcW w:w="2057" w:type="dxa"/>
            <w:hideMark/>
          </w:tcPr>
          <w:p w14:paraId="2965156E" w14:textId="77777777" w:rsidR="00DB15E9" w:rsidRDefault="0078312E">
            <w:pPr>
              <w:pStyle w:val="ESSPFigure"/>
              <w:keepNext w:val="0"/>
              <w:rPr>
                <w:rFonts w:ascii="Helvetica" w:hAnsi="Helvetica"/>
                <w:noProof w:val="0"/>
              </w:rPr>
            </w:pPr>
            <w:r>
              <w:rPr>
                <w:rFonts w:ascii="Helvetica" w:hAnsi="Helvetica"/>
                <w:noProof w:val="0"/>
              </w:rPr>
              <w:t>8.97E+00</w:t>
            </w:r>
          </w:p>
        </w:tc>
        <w:tc>
          <w:tcPr>
            <w:tcW w:w="1251" w:type="dxa"/>
            <w:hideMark/>
          </w:tcPr>
          <w:p w14:paraId="25F3D6CF" w14:textId="77777777" w:rsidR="00DB15E9" w:rsidRDefault="0078312E">
            <w:pPr>
              <w:pStyle w:val="ESSPFigure"/>
              <w:keepNext w:val="0"/>
              <w:rPr>
                <w:rFonts w:ascii="Helvetica" w:hAnsi="Helvetica"/>
                <w:noProof w:val="0"/>
              </w:rPr>
            </w:pPr>
            <w:r>
              <w:rPr>
                <w:rFonts w:ascii="Helvetica" w:hAnsi="Helvetica"/>
                <w:noProof w:val="0"/>
              </w:rPr>
              <w:t>1.02E+03</w:t>
            </w:r>
          </w:p>
        </w:tc>
        <w:tc>
          <w:tcPr>
            <w:tcW w:w="1251" w:type="dxa"/>
            <w:hideMark/>
          </w:tcPr>
          <w:p w14:paraId="16847F5F" w14:textId="77777777" w:rsidR="00DB15E9" w:rsidRDefault="0078312E">
            <w:pPr>
              <w:pStyle w:val="ESSPFigure"/>
              <w:keepNext w:val="0"/>
              <w:rPr>
                <w:rFonts w:ascii="Helvetica" w:hAnsi="Helvetica"/>
                <w:noProof w:val="0"/>
              </w:rPr>
            </w:pPr>
            <w:r>
              <w:rPr>
                <w:rFonts w:ascii="Helvetica" w:hAnsi="Helvetica"/>
                <w:noProof w:val="0"/>
              </w:rPr>
              <w:t>1.98E+02</w:t>
            </w:r>
          </w:p>
        </w:tc>
        <w:tc>
          <w:tcPr>
            <w:tcW w:w="1251" w:type="dxa"/>
            <w:hideMark/>
          </w:tcPr>
          <w:p w14:paraId="74170D84" w14:textId="77777777" w:rsidR="00DB15E9" w:rsidRDefault="0078312E">
            <w:pPr>
              <w:pStyle w:val="ESSPFigure"/>
              <w:keepNext w:val="0"/>
              <w:rPr>
                <w:noProof w:val="0"/>
              </w:rPr>
            </w:pPr>
            <w:r>
              <w:rPr>
                <w:rFonts w:ascii="Helvetica" w:hAnsi="Helvetica"/>
                <w:noProof w:val="0"/>
              </w:rPr>
              <w:t>1.26E+03</w:t>
            </w:r>
          </w:p>
        </w:tc>
      </w:tr>
      <w:tr w:rsidR="00DB15E9" w14:paraId="2E1F6674" w14:textId="77777777" w:rsidTr="00DB15E9">
        <w:trPr>
          <w:trHeight w:val="300"/>
        </w:trPr>
        <w:tc>
          <w:tcPr>
            <w:tcW w:w="1390" w:type="dxa"/>
            <w:hideMark/>
          </w:tcPr>
          <w:p w14:paraId="2EA60C94" w14:textId="77777777" w:rsidR="00DB15E9" w:rsidRDefault="0078312E">
            <w:pPr>
              <w:pStyle w:val="ESSPFigure"/>
              <w:keepNext w:val="0"/>
              <w:rPr>
                <w:rFonts w:ascii="Helvetica" w:hAnsi="Helvetica"/>
                <w:noProof w:val="0"/>
              </w:rPr>
            </w:pPr>
            <w:r>
              <w:rPr>
                <w:rFonts w:ascii="Helvetica" w:hAnsi="Helvetica"/>
                <w:noProof w:val="0"/>
              </w:rPr>
              <w:t>365</w:t>
            </w:r>
          </w:p>
        </w:tc>
        <w:tc>
          <w:tcPr>
            <w:tcW w:w="1310" w:type="dxa"/>
            <w:hideMark/>
          </w:tcPr>
          <w:p w14:paraId="333D439D" w14:textId="77777777" w:rsidR="00DB15E9" w:rsidRDefault="0078312E">
            <w:pPr>
              <w:pStyle w:val="ESSPFigure"/>
              <w:keepNext w:val="0"/>
              <w:rPr>
                <w:rFonts w:ascii="Helvetica" w:hAnsi="Helvetica"/>
                <w:noProof w:val="0"/>
              </w:rPr>
            </w:pPr>
            <w:r>
              <w:rPr>
                <w:rFonts w:ascii="Helvetica" w:hAnsi="Helvetica"/>
                <w:noProof w:val="0"/>
              </w:rPr>
              <w:t>5.72E+00</w:t>
            </w:r>
          </w:p>
        </w:tc>
        <w:tc>
          <w:tcPr>
            <w:tcW w:w="2057" w:type="dxa"/>
            <w:hideMark/>
          </w:tcPr>
          <w:p w14:paraId="50579A34" w14:textId="77777777" w:rsidR="00DB15E9" w:rsidRDefault="0078312E">
            <w:pPr>
              <w:pStyle w:val="ESSPFigure"/>
              <w:keepNext w:val="0"/>
              <w:rPr>
                <w:rFonts w:ascii="Helvetica" w:hAnsi="Helvetica"/>
                <w:noProof w:val="0"/>
              </w:rPr>
            </w:pPr>
            <w:r>
              <w:rPr>
                <w:rFonts w:ascii="Helvetica" w:hAnsi="Helvetica"/>
                <w:noProof w:val="0"/>
              </w:rPr>
              <w:t>7.43E+00</w:t>
            </w:r>
          </w:p>
        </w:tc>
        <w:tc>
          <w:tcPr>
            <w:tcW w:w="1251" w:type="dxa"/>
            <w:hideMark/>
          </w:tcPr>
          <w:p w14:paraId="4BC39142" w14:textId="77777777" w:rsidR="00DB15E9" w:rsidRDefault="0078312E">
            <w:pPr>
              <w:pStyle w:val="ESSPFigure"/>
              <w:keepNext w:val="0"/>
              <w:rPr>
                <w:rFonts w:ascii="Helvetica" w:hAnsi="Helvetica"/>
                <w:noProof w:val="0"/>
              </w:rPr>
            </w:pPr>
            <w:r>
              <w:rPr>
                <w:rFonts w:ascii="Helvetica" w:hAnsi="Helvetica"/>
                <w:noProof w:val="0"/>
              </w:rPr>
              <w:t>9.34E+02</w:t>
            </w:r>
          </w:p>
        </w:tc>
        <w:tc>
          <w:tcPr>
            <w:tcW w:w="1251" w:type="dxa"/>
            <w:hideMark/>
          </w:tcPr>
          <w:p w14:paraId="28A87F0C" w14:textId="77777777" w:rsidR="00DB15E9" w:rsidRDefault="0078312E">
            <w:pPr>
              <w:pStyle w:val="ESSPFigure"/>
              <w:keepNext w:val="0"/>
              <w:rPr>
                <w:rFonts w:ascii="Helvetica" w:hAnsi="Helvetica"/>
                <w:noProof w:val="0"/>
              </w:rPr>
            </w:pPr>
            <w:r>
              <w:rPr>
                <w:rFonts w:ascii="Helvetica" w:hAnsi="Helvetica"/>
                <w:noProof w:val="0"/>
              </w:rPr>
              <w:t>1.61E+02</w:t>
            </w:r>
          </w:p>
        </w:tc>
        <w:tc>
          <w:tcPr>
            <w:tcW w:w="1251" w:type="dxa"/>
            <w:hideMark/>
          </w:tcPr>
          <w:p w14:paraId="631EC2AE" w14:textId="77777777" w:rsidR="00DB15E9" w:rsidRDefault="0078312E">
            <w:pPr>
              <w:pStyle w:val="ESSPFigure"/>
              <w:keepNext w:val="0"/>
              <w:rPr>
                <w:noProof w:val="0"/>
              </w:rPr>
            </w:pPr>
            <w:r>
              <w:rPr>
                <w:rFonts w:ascii="Helvetica" w:hAnsi="Helvetica"/>
                <w:noProof w:val="0"/>
              </w:rPr>
              <w:t>1.11E+03</w:t>
            </w:r>
          </w:p>
        </w:tc>
      </w:tr>
      <w:tr w:rsidR="00DB15E9" w14:paraId="16533D17" w14:textId="77777777" w:rsidTr="00DB15E9">
        <w:trPr>
          <w:trHeight w:val="300"/>
        </w:trPr>
        <w:tc>
          <w:tcPr>
            <w:tcW w:w="1390" w:type="dxa"/>
            <w:hideMark/>
          </w:tcPr>
          <w:p w14:paraId="05AA306F" w14:textId="77777777" w:rsidR="00DB15E9" w:rsidRDefault="0078312E">
            <w:pPr>
              <w:pStyle w:val="ESSPFigure"/>
              <w:keepNext w:val="0"/>
              <w:rPr>
                <w:rFonts w:ascii="Helvetica" w:hAnsi="Helvetica"/>
                <w:noProof w:val="0"/>
              </w:rPr>
            </w:pPr>
            <w:r>
              <w:rPr>
                <w:rFonts w:ascii="Helvetica" w:hAnsi="Helvetica"/>
                <w:noProof w:val="0"/>
              </w:rPr>
              <w:t>437</w:t>
            </w:r>
          </w:p>
        </w:tc>
        <w:tc>
          <w:tcPr>
            <w:tcW w:w="1310" w:type="dxa"/>
            <w:hideMark/>
          </w:tcPr>
          <w:p w14:paraId="6D10BFF4" w14:textId="77777777" w:rsidR="00DB15E9" w:rsidRDefault="0078312E">
            <w:pPr>
              <w:pStyle w:val="ESSPFigure"/>
              <w:keepNext w:val="0"/>
              <w:rPr>
                <w:rFonts w:ascii="Helvetica" w:hAnsi="Helvetica"/>
                <w:noProof w:val="0"/>
              </w:rPr>
            </w:pPr>
            <w:r>
              <w:rPr>
                <w:rFonts w:ascii="Helvetica" w:hAnsi="Helvetica"/>
                <w:noProof w:val="0"/>
              </w:rPr>
              <w:t>6.98E-01</w:t>
            </w:r>
          </w:p>
        </w:tc>
        <w:tc>
          <w:tcPr>
            <w:tcW w:w="2057" w:type="dxa"/>
            <w:hideMark/>
          </w:tcPr>
          <w:p w14:paraId="36A0E53C" w14:textId="77777777" w:rsidR="00DB15E9" w:rsidRDefault="0078312E">
            <w:pPr>
              <w:pStyle w:val="ESSPFigure"/>
              <w:keepNext w:val="0"/>
              <w:rPr>
                <w:rFonts w:ascii="Helvetica" w:hAnsi="Helvetica"/>
                <w:noProof w:val="0"/>
              </w:rPr>
            </w:pPr>
            <w:r>
              <w:rPr>
                <w:rFonts w:ascii="Helvetica" w:hAnsi="Helvetica"/>
                <w:noProof w:val="0"/>
              </w:rPr>
              <w:t>6.46E+00</w:t>
            </w:r>
          </w:p>
        </w:tc>
        <w:tc>
          <w:tcPr>
            <w:tcW w:w="1251" w:type="dxa"/>
            <w:hideMark/>
          </w:tcPr>
          <w:p w14:paraId="5586F05C" w14:textId="77777777" w:rsidR="00DB15E9" w:rsidRDefault="0078312E">
            <w:pPr>
              <w:pStyle w:val="ESSPFigure"/>
              <w:keepNext w:val="0"/>
              <w:rPr>
                <w:rFonts w:ascii="Helvetica" w:hAnsi="Helvetica"/>
                <w:noProof w:val="0"/>
              </w:rPr>
            </w:pPr>
            <w:r>
              <w:rPr>
                <w:rFonts w:ascii="Helvetica" w:hAnsi="Helvetica"/>
                <w:noProof w:val="0"/>
              </w:rPr>
              <w:t>8.76E+02</w:t>
            </w:r>
          </w:p>
        </w:tc>
        <w:tc>
          <w:tcPr>
            <w:tcW w:w="1251" w:type="dxa"/>
            <w:hideMark/>
          </w:tcPr>
          <w:p w14:paraId="34BFD0CA" w14:textId="77777777" w:rsidR="00DB15E9" w:rsidRDefault="0078312E">
            <w:pPr>
              <w:pStyle w:val="ESSPFigure"/>
              <w:keepNext w:val="0"/>
              <w:rPr>
                <w:rFonts w:ascii="Helvetica" w:hAnsi="Helvetica"/>
                <w:noProof w:val="0"/>
              </w:rPr>
            </w:pPr>
            <w:r>
              <w:rPr>
                <w:rFonts w:ascii="Helvetica" w:hAnsi="Helvetica"/>
                <w:noProof w:val="0"/>
              </w:rPr>
              <w:t>1.38E+02</w:t>
            </w:r>
          </w:p>
        </w:tc>
        <w:tc>
          <w:tcPr>
            <w:tcW w:w="1251" w:type="dxa"/>
            <w:hideMark/>
          </w:tcPr>
          <w:p w14:paraId="3DB9A748" w14:textId="77777777" w:rsidR="00DB15E9" w:rsidRDefault="0078312E">
            <w:pPr>
              <w:pStyle w:val="ESSPFigure"/>
              <w:keepNext w:val="0"/>
              <w:rPr>
                <w:noProof w:val="0"/>
              </w:rPr>
            </w:pPr>
            <w:r>
              <w:rPr>
                <w:rFonts w:ascii="Helvetica" w:hAnsi="Helvetica"/>
                <w:noProof w:val="0"/>
              </w:rPr>
              <w:t>1.02E+03</w:t>
            </w:r>
          </w:p>
        </w:tc>
      </w:tr>
      <w:tr w:rsidR="00DB15E9" w14:paraId="2706C893" w14:textId="77777777" w:rsidTr="00DB15E9">
        <w:trPr>
          <w:trHeight w:val="300"/>
        </w:trPr>
        <w:tc>
          <w:tcPr>
            <w:tcW w:w="1390" w:type="dxa"/>
            <w:hideMark/>
          </w:tcPr>
          <w:p w14:paraId="125B5D38" w14:textId="77777777" w:rsidR="00DB15E9" w:rsidRDefault="0078312E">
            <w:pPr>
              <w:pStyle w:val="ESSPFigure"/>
              <w:keepNext w:val="0"/>
              <w:rPr>
                <w:rFonts w:ascii="Helvetica" w:hAnsi="Helvetica"/>
                <w:noProof w:val="0"/>
              </w:rPr>
            </w:pPr>
            <w:r>
              <w:rPr>
                <w:rFonts w:ascii="Helvetica" w:hAnsi="Helvetica"/>
                <w:noProof w:val="0"/>
              </w:rPr>
              <w:t>510</w:t>
            </w:r>
          </w:p>
        </w:tc>
        <w:tc>
          <w:tcPr>
            <w:tcW w:w="1310" w:type="dxa"/>
            <w:hideMark/>
          </w:tcPr>
          <w:p w14:paraId="5613FA38" w14:textId="77777777" w:rsidR="00DB15E9" w:rsidRDefault="0078312E">
            <w:pPr>
              <w:pStyle w:val="ESSPFigure"/>
              <w:keepNext w:val="0"/>
              <w:rPr>
                <w:rFonts w:ascii="Helvetica" w:hAnsi="Helvetica"/>
                <w:noProof w:val="0"/>
              </w:rPr>
            </w:pPr>
            <w:r>
              <w:rPr>
                <w:rFonts w:ascii="Helvetica" w:hAnsi="Helvetica"/>
                <w:noProof w:val="0"/>
              </w:rPr>
              <w:t>4.96E-02</w:t>
            </w:r>
          </w:p>
        </w:tc>
        <w:tc>
          <w:tcPr>
            <w:tcW w:w="2057" w:type="dxa"/>
            <w:hideMark/>
          </w:tcPr>
          <w:p w14:paraId="57731E1E" w14:textId="77777777" w:rsidR="00DB15E9" w:rsidRDefault="0078312E">
            <w:pPr>
              <w:pStyle w:val="ESSPFigure"/>
              <w:keepNext w:val="0"/>
              <w:rPr>
                <w:rFonts w:ascii="Helvetica" w:hAnsi="Helvetica"/>
                <w:noProof w:val="0"/>
              </w:rPr>
            </w:pPr>
            <w:r>
              <w:rPr>
                <w:rFonts w:ascii="Helvetica" w:hAnsi="Helvetica"/>
                <w:noProof w:val="0"/>
              </w:rPr>
              <w:t>5.77E+00</w:t>
            </w:r>
          </w:p>
        </w:tc>
        <w:tc>
          <w:tcPr>
            <w:tcW w:w="1251" w:type="dxa"/>
            <w:hideMark/>
          </w:tcPr>
          <w:p w14:paraId="765754B0" w14:textId="77777777" w:rsidR="00DB15E9" w:rsidRDefault="0078312E">
            <w:pPr>
              <w:pStyle w:val="ESSPFigure"/>
              <w:keepNext w:val="0"/>
              <w:rPr>
                <w:rFonts w:ascii="Helvetica" w:hAnsi="Helvetica"/>
                <w:noProof w:val="0"/>
              </w:rPr>
            </w:pPr>
            <w:r>
              <w:rPr>
                <w:rFonts w:ascii="Helvetica" w:hAnsi="Helvetica"/>
                <w:noProof w:val="0"/>
              </w:rPr>
              <w:t>8.32E+02</w:t>
            </w:r>
          </w:p>
        </w:tc>
        <w:tc>
          <w:tcPr>
            <w:tcW w:w="1251" w:type="dxa"/>
            <w:hideMark/>
          </w:tcPr>
          <w:p w14:paraId="0F58E471" w14:textId="77777777" w:rsidR="00DB15E9" w:rsidRDefault="0078312E">
            <w:pPr>
              <w:pStyle w:val="ESSPFigure"/>
              <w:keepNext w:val="0"/>
              <w:rPr>
                <w:rFonts w:ascii="Helvetica" w:hAnsi="Helvetica"/>
                <w:noProof w:val="0"/>
              </w:rPr>
            </w:pPr>
            <w:r>
              <w:rPr>
                <w:rFonts w:ascii="Helvetica" w:hAnsi="Helvetica"/>
                <w:noProof w:val="0"/>
              </w:rPr>
              <w:t>1.22E+02</w:t>
            </w:r>
          </w:p>
        </w:tc>
        <w:tc>
          <w:tcPr>
            <w:tcW w:w="1251" w:type="dxa"/>
            <w:hideMark/>
          </w:tcPr>
          <w:p w14:paraId="60408A4E" w14:textId="77777777" w:rsidR="00DB15E9" w:rsidRDefault="0078312E">
            <w:pPr>
              <w:pStyle w:val="ESSPFigure"/>
              <w:keepNext w:val="0"/>
              <w:rPr>
                <w:noProof w:val="0"/>
              </w:rPr>
            </w:pPr>
            <w:r>
              <w:rPr>
                <w:rFonts w:ascii="Helvetica" w:hAnsi="Helvetica"/>
                <w:noProof w:val="0"/>
              </w:rPr>
              <w:t>9.60E+02</w:t>
            </w:r>
          </w:p>
        </w:tc>
      </w:tr>
      <w:tr w:rsidR="00DB15E9" w14:paraId="4AEF4DD6" w14:textId="77777777" w:rsidTr="00DB15E9">
        <w:trPr>
          <w:trHeight w:val="300"/>
        </w:trPr>
        <w:tc>
          <w:tcPr>
            <w:tcW w:w="1390" w:type="dxa"/>
            <w:hideMark/>
          </w:tcPr>
          <w:p w14:paraId="4A497B01" w14:textId="77777777" w:rsidR="00DB15E9" w:rsidRDefault="0078312E">
            <w:pPr>
              <w:pStyle w:val="ESSPFigure"/>
              <w:keepNext w:val="0"/>
              <w:rPr>
                <w:rFonts w:ascii="Helvetica" w:hAnsi="Helvetica"/>
                <w:noProof w:val="0"/>
              </w:rPr>
            </w:pPr>
            <w:r>
              <w:rPr>
                <w:rFonts w:ascii="Helvetica" w:hAnsi="Helvetica"/>
                <w:noProof w:val="0"/>
              </w:rPr>
              <w:t>583</w:t>
            </w:r>
          </w:p>
        </w:tc>
        <w:tc>
          <w:tcPr>
            <w:tcW w:w="1310" w:type="dxa"/>
            <w:hideMark/>
          </w:tcPr>
          <w:p w14:paraId="0000B9C5" w14:textId="77777777" w:rsidR="00DB15E9" w:rsidRDefault="0078312E">
            <w:pPr>
              <w:pStyle w:val="ESSPFigure"/>
              <w:keepNext w:val="0"/>
              <w:rPr>
                <w:rFonts w:ascii="Helvetica" w:hAnsi="Helvetica"/>
                <w:noProof w:val="0"/>
              </w:rPr>
            </w:pPr>
            <w:r>
              <w:rPr>
                <w:rFonts w:ascii="Helvetica" w:hAnsi="Helvetica"/>
                <w:noProof w:val="0"/>
              </w:rPr>
              <w:t>7.76E-04</w:t>
            </w:r>
          </w:p>
        </w:tc>
        <w:tc>
          <w:tcPr>
            <w:tcW w:w="2057" w:type="dxa"/>
            <w:hideMark/>
          </w:tcPr>
          <w:p w14:paraId="36E37D54" w14:textId="77777777" w:rsidR="00DB15E9" w:rsidRDefault="0078312E">
            <w:pPr>
              <w:pStyle w:val="ESSPFigure"/>
              <w:keepNext w:val="0"/>
              <w:rPr>
                <w:rFonts w:ascii="Helvetica" w:hAnsi="Helvetica"/>
                <w:noProof w:val="0"/>
              </w:rPr>
            </w:pPr>
            <w:r>
              <w:rPr>
                <w:rFonts w:ascii="Helvetica" w:hAnsi="Helvetica"/>
                <w:noProof w:val="0"/>
              </w:rPr>
              <w:t>5.26E+00</w:t>
            </w:r>
          </w:p>
        </w:tc>
        <w:tc>
          <w:tcPr>
            <w:tcW w:w="1251" w:type="dxa"/>
            <w:hideMark/>
          </w:tcPr>
          <w:p w14:paraId="504BD349" w14:textId="77777777" w:rsidR="00DB15E9" w:rsidRDefault="0078312E">
            <w:pPr>
              <w:pStyle w:val="ESSPFigure"/>
              <w:keepNext w:val="0"/>
              <w:rPr>
                <w:rFonts w:ascii="Helvetica" w:hAnsi="Helvetica"/>
                <w:noProof w:val="0"/>
              </w:rPr>
            </w:pPr>
            <w:r>
              <w:rPr>
                <w:rFonts w:ascii="Helvetica" w:hAnsi="Helvetica"/>
                <w:noProof w:val="0"/>
              </w:rPr>
              <w:t>7.77E+02</w:t>
            </w:r>
          </w:p>
        </w:tc>
        <w:tc>
          <w:tcPr>
            <w:tcW w:w="1251" w:type="dxa"/>
            <w:hideMark/>
          </w:tcPr>
          <w:p w14:paraId="07F581FF" w14:textId="77777777" w:rsidR="00DB15E9" w:rsidRDefault="0078312E">
            <w:pPr>
              <w:pStyle w:val="ESSPFigure"/>
              <w:keepNext w:val="0"/>
              <w:rPr>
                <w:rFonts w:ascii="Helvetica" w:hAnsi="Helvetica"/>
                <w:noProof w:val="0"/>
              </w:rPr>
            </w:pPr>
            <w:r>
              <w:rPr>
                <w:rFonts w:ascii="Helvetica" w:hAnsi="Helvetica"/>
                <w:noProof w:val="0"/>
              </w:rPr>
              <w:t>1.05E+02</w:t>
            </w:r>
          </w:p>
        </w:tc>
        <w:tc>
          <w:tcPr>
            <w:tcW w:w="1251" w:type="dxa"/>
            <w:hideMark/>
          </w:tcPr>
          <w:p w14:paraId="7088CB61" w14:textId="77777777" w:rsidR="00DB15E9" w:rsidRDefault="0078312E">
            <w:pPr>
              <w:pStyle w:val="ESSPFigure"/>
              <w:keepNext w:val="0"/>
              <w:rPr>
                <w:noProof w:val="0"/>
              </w:rPr>
            </w:pPr>
            <w:r>
              <w:rPr>
                <w:rFonts w:ascii="Helvetica" w:hAnsi="Helvetica"/>
                <w:noProof w:val="0"/>
              </w:rPr>
              <w:t>8.87E+02</w:t>
            </w:r>
          </w:p>
        </w:tc>
      </w:tr>
      <w:tr w:rsidR="00DB15E9" w14:paraId="3FE9604B" w14:textId="77777777" w:rsidTr="00DB15E9">
        <w:trPr>
          <w:trHeight w:val="300"/>
        </w:trPr>
        <w:tc>
          <w:tcPr>
            <w:tcW w:w="1390" w:type="dxa"/>
            <w:hideMark/>
          </w:tcPr>
          <w:p w14:paraId="5989DF7C" w14:textId="77777777" w:rsidR="00DB15E9" w:rsidRDefault="0078312E">
            <w:pPr>
              <w:pStyle w:val="ESSPFigure"/>
              <w:keepNext w:val="0"/>
              <w:rPr>
                <w:rFonts w:ascii="Helvetica" w:hAnsi="Helvetica"/>
                <w:noProof w:val="0"/>
              </w:rPr>
            </w:pPr>
            <w:r>
              <w:rPr>
                <w:rFonts w:ascii="Helvetica" w:hAnsi="Helvetica"/>
                <w:noProof w:val="0"/>
              </w:rPr>
              <w:t>656</w:t>
            </w:r>
          </w:p>
        </w:tc>
        <w:tc>
          <w:tcPr>
            <w:tcW w:w="1310" w:type="dxa"/>
            <w:hideMark/>
          </w:tcPr>
          <w:p w14:paraId="194F8299" w14:textId="77777777" w:rsidR="00DB15E9" w:rsidRDefault="0078312E">
            <w:pPr>
              <w:pStyle w:val="ESSPFigure"/>
              <w:keepNext w:val="0"/>
              <w:rPr>
                <w:rFonts w:ascii="Helvetica" w:hAnsi="Helvetica"/>
                <w:noProof w:val="0"/>
              </w:rPr>
            </w:pPr>
            <w:r>
              <w:rPr>
                <w:rFonts w:ascii="Helvetica" w:hAnsi="Helvetica"/>
                <w:noProof w:val="0"/>
              </w:rPr>
              <w:t>1.06E-05</w:t>
            </w:r>
          </w:p>
        </w:tc>
        <w:tc>
          <w:tcPr>
            <w:tcW w:w="2057" w:type="dxa"/>
            <w:hideMark/>
          </w:tcPr>
          <w:p w14:paraId="1A51E64D" w14:textId="77777777" w:rsidR="00DB15E9" w:rsidRDefault="0078312E">
            <w:pPr>
              <w:pStyle w:val="ESSPFigure"/>
              <w:keepNext w:val="0"/>
              <w:rPr>
                <w:rFonts w:ascii="Helvetica" w:hAnsi="Helvetica"/>
                <w:noProof w:val="0"/>
              </w:rPr>
            </w:pPr>
            <w:r>
              <w:rPr>
                <w:rFonts w:ascii="Helvetica" w:hAnsi="Helvetica"/>
                <w:noProof w:val="0"/>
              </w:rPr>
              <w:t>4.85E+00</w:t>
            </w:r>
          </w:p>
        </w:tc>
        <w:tc>
          <w:tcPr>
            <w:tcW w:w="1251" w:type="dxa"/>
            <w:hideMark/>
          </w:tcPr>
          <w:p w14:paraId="52FCCCB9" w14:textId="77777777" w:rsidR="00DB15E9" w:rsidRDefault="0078312E">
            <w:pPr>
              <w:pStyle w:val="ESSPFigure"/>
              <w:keepNext w:val="0"/>
              <w:rPr>
                <w:rFonts w:ascii="Helvetica" w:hAnsi="Helvetica"/>
                <w:noProof w:val="0"/>
              </w:rPr>
            </w:pPr>
            <w:r>
              <w:rPr>
                <w:rFonts w:ascii="Helvetica" w:hAnsi="Helvetica"/>
                <w:noProof w:val="0"/>
              </w:rPr>
              <w:t>7.38E+02</w:t>
            </w:r>
          </w:p>
        </w:tc>
        <w:tc>
          <w:tcPr>
            <w:tcW w:w="1251" w:type="dxa"/>
            <w:hideMark/>
          </w:tcPr>
          <w:p w14:paraId="4746AA40" w14:textId="77777777" w:rsidR="00DB15E9" w:rsidRDefault="0078312E">
            <w:pPr>
              <w:pStyle w:val="ESSPFigure"/>
              <w:keepNext w:val="0"/>
              <w:rPr>
                <w:rFonts w:ascii="Helvetica" w:hAnsi="Helvetica"/>
                <w:noProof w:val="0"/>
              </w:rPr>
            </w:pPr>
            <w:r>
              <w:rPr>
                <w:rFonts w:ascii="Helvetica" w:hAnsi="Helvetica"/>
                <w:noProof w:val="0"/>
              </w:rPr>
              <w:t>9.35E+01</w:t>
            </w:r>
          </w:p>
        </w:tc>
        <w:tc>
          <w:tcPr>
            <w:tcW w:w="1251" w:type="dxa"/>
            <w:hideMark/>
          </w:tcPr>
          <w:p w14:paraId="7CFE394E" w14:textId="77777777" w:rsidR="00DB15E9" w:rsidRDefault="0078312E">
            <w:pPr>
              <w:pStyle w:val="ESSPFigure"/>
              <w:keepNext w:val="0"/>
              <w:rPr>
                <w:noProof w:val="0"/>
              </w:rPr>
            </w:pPr>
            <w:r>
              <w:rPr>
                <w:rFonts w:ascii="Helvetica" w:hAnsi="Helvetica"/>
                <w:noProof w:val="0"/>
              </w:rPr>
              <w:t>8.36E+02</w:t>
            </w:r>
          </w:p>
        </w:tc>
      </w:tr>
      <w:tr w:rsidR="00DB15E9" w14:paraId="72368F43" w14:textId="77777777" w:rsidTr="00DB15E9">
        <w:trPr>
          <w:trHeight w:val="300"/>
        </w:trPr>
        <w:tc>
          <w:tcPr>
            <w:tcW w:w="1390" w:type="dxa"/>
            <w:hideMark/>
          </w:tcPr>
          <w:p w14:paraId="771FF9EE" w14:textId="77777777" w:rsidR="00DB15E9" w:rsidRDefault="0078312E">
            <w:pPr>
              <w:pStyle w:val="ESSPFigure"/>
              <w:keepNext w:val="0"/>
              <w:rPr>
                <w:rFonts w:ascii="Helvetica" w:hAnsi="Helvetica"/>
                <w:noProof w:val="0"/>
              </w:rPr>
            </w:pPr>
            <w:r>
              <w:rPr>
                <w:rFonts w:ascii="Helvetica" w:hAnsi="Helvetica"/>
                <w:noProof w:val="0"/>
              </w:rPr>
              <w:t>729</w:t>
            </w:r>
          </w:p>
        </w:tc>
        <w:tc>
          <w:tcPr>
            <w:tcW w:w="1310" w:type="dxa"/>
            <w:hideMark/>
          </w:tcPr>
          <w:p w14:paraId="20C413C0" w14:textId="77777777" w:rsidR="00DB15E9" w:rsidRDefault="0078312E">
            <w:pPr>
              <w:pStyle w:val="ESSPFigure"/>
              <w:keepNext w:val="0"/>
              <w:rPr>
                <w:rFonts w:ascii="Helvetica" w:hAnsi="Helvetica"/>
                <w:noProof w:val="0"/>
              </w:rPr>
            </w:pPr>
            <w:r>
              <w:rPr>
                <w:rFonts w:ascii="Helvetica" w:hAnsi="Helvetica"/>
                <w:noProof w:val="0"/>
              </w:rPr>
              <w:t>1.37E-07</w:t>
            </w:r>
          </w:p>
        </w:tc>
        <w:tc>
          <w:tcPr>
            <w:tcW w:w="2057" w:type="dxa"/>
            <w:hideMark/>
          </w:tcPr>
          <w:p w14:paraId="1D3682FF" w14:textId="77777777" w:rsidR="00DB15E9" w:rsidRDefault="0078312E">
            <w:pPr>
              <w:pStyle w:val="ESSPFigure"/>
              <w:keepNext w:val="0"/>
              <w:rPr>
                <w:rFonts w:ascii="Helvetica" w:hAnsi="Helvetica"/>
                <w:noProof w:val="0"/>
              </w:rPr>
            </w:pPr>
            <w:r>
              <w:rPr>
                <w:rFonts w:ascii="Helvetica" w:hAnsi="Helvetica"/>
                <w:noProof w:val="0"/>
              </w:rPr>
              <w:t>4.49E+00</w:t>
            </w:r>
          </w:p>
        </w:tc>
        <w:tc>
          <w:tcPr>
            <w:tcW w:w="1251" w:type="dxa"/>
            <w:hideMark/>
          </w:tcPr>
          <w:p w14:paraId="4F4C26BC" w14:textId="77777777" w:rsidR="00DB15E9" w:rsidRDefault="0078312E">
            <w:pPr>
              <w:pStyle w:val="ESSPFigure"/>
              <w:keepNext w:val="0"/>
              <w:rPr>
                <w:rFonts w:ascii="Helvetica" w:hAnsi="Helvetica"/>
                <w:noProof w:val="0"/>
              </w:rPr>
            </w:pPr>
            <w:r>
              <w:rPr>
                <w:rFonts w:ascii="Helvetica" w:hAnsi="Helvetica"/>
                <w:noProof w:val="0"/>
              </w:rPr>
              <w:t>7.06E+02</w:t>
            </w:r>
          </w:p>
        </w:tc>
        <w:tc>
          <w:tcPr>
            <w:tcW w:w="1251" w:type="dxa"/>
            <w:hideMark/>
          </w:tcPr>
          <w:p w14:paraId="3776D9AE" w14:textId="77777777" w:rsidR="00DB15E9" w:rsidRDefault="0078312E">
            <w:pPr>
              <w:pStyle w:val="ESSPFigure"/>
              <w:keepNext w:val="0"/>
              <w:rPr>
                <w:rFonts w:ascii="Helvetica" w:hAnsi="Helvetica"/>
                <w:noProof w:val="0"/>
              </w:rPr>
            </w:pPr>
            <w:r>
              <w:rPr>
                <w:rFonts w:ascii="Helvetica" w:hAnsi="Helvetica"/>
                <w:noProof w:val="0"/>
              </w:rPr>
              <w:t>8.50E+01</w:t>
            </w:r>
          </w:p>
        </w:tc>
        <w:tc>
          <w:tcPr>
            <w:tcW w:w="1251" w:type="dxa"/>
            <w:hideMark/>
          </w:tcPr>
          <w:p w14:paraId="6589CAD1" w14:textId="77777777" w:rsidR="00DB15E9" w:rsidRDefault="0078312E">
            <w:pPr>
              <w:pStyle w:val="ESSPFigure"/>
              <w:keepNext w:val="0"/>
              <w:rPr>
                <w:noProof w:val="0"/>
              </w:rPr>
            </w:pPr>
            <w:r>
              <w:rPr>
                <w:rFonts w:ascii="Helvetica" w:hAnsi="Helvetica"/>
                <w:noProof w:val="0"/>
              </w:rPr>
              <w:t>7.95E+02</w:t>
            </w:r>
          </w:p>
        </w:tc>
      </w:tr>
      <w:tr w:rsidR="00DB15E9" w14:paraId="168504E7" w14:textId="77777777" w:rsidTr="00DB15E9">
        <w:trPr>
          <w:trHeight w:val="300"/>
        </w:trPr>
        <w:tc>
          <w:tcPr>
            <w:tcW w:w="1390" w:type="dxa"/>
            <w:hideMark/>
          </w:tcPr>
          <w:p w14:paraId="3222E74A" w14:textId="77777777" w:rsidR="00DB15E9" w:rsidRDefault="0078312E">
            <w:pPr>
              <w:pStyle w:val="ESSPFigure"/>
              <w:keepNext w:val="0"/>
              <w:rPr>
                <w:rFonts w:ascii="Helvetica" w:hAnsi="Helvetica"/>
                <w:noProof w:val="0"/>
              </w:rPr>
            </w:pPr>
            <w:r>
              <w:rPr>
                <w:rFonts w:ascii="Helvetica" w:hAnsi="Helvetica"/>
                <w:noProof w:val="0"/>
              </w:rPr>
              <w:t>875</w:t>
            </w:r>
          </w:p>
        </w:tc>
        <w:tc>
          <w:tcPr>
            <w:tcW w:w="1310" w:type="dxa"/>
            <w:hideMark/>
          </w:tcPr>
          <w:p w14:paraId="000FD5BB" w14:textId="77777777" w:rsidR="00DB15E9" w:rsidRDefault="0078312E">
            <w:pPr>
              <w:pStyle w:val="ESSPFigure"/>
              <w:keepNext w:val="0"/>
              <w:rPr>
                <w:rFonts w:ascii="Helvetica" w:hAnsi="Helvetica"/>
                <w:noProof w:val="0"/>
              </w:rPr>
            </w:pPr>
            <w:r>
              <w:rPr>
                <w:rFonts w:ascii="Helvetica" w:hAnsi="Helvetica"/>
                <w:noProof w:val="0"/>
              </w:rPr>
              <w:t>0.00E+00</w:t>
            </w:r>
          </w:p>
        </w:tc>
        <w:tc>
          <w:tcPr>
            <w:tcW w:w="2057" w:type="dxa"/>
            <w:hideMark/>
          </w:tcPr>
          <w:p w14:paraId="7A872439" w14:textId="77777777" w:rsidR="00DB15E9" w:rsidRDefault="0078312E">
            <w:pPr>
              <w:pStyle w:val="ESSPFigure"/>
              <w:keepNext w:val="0"/>
              <w:rPr>
                <w:rFonts w:ascii="Helvetica" w:hAnsi="Helvetica"/>
                <w:noProof w:val="0"/>
              </w:rPr>
            </w:pPr>
            <w:r>
              <w:rPr>
                <w:rFonts w:ascii="Helvetica" w:hAnsi="Helvetica"/>
                <w:noProof w:val="0"/>
              </w:rPr>
              <w:t>3.92E+00</w:t>
            </w:r>
          </w:p>
        </w:tc>
        <w:tc>
          <w:tcPr>
            <w:tcW w:w="1251" w:type="dxa"/>
            <w:hideMark/>
          </w:tcPr>
          <w:p w14:paraId="2D858EE1" w14:textId="77777777" w:rsidR="00DB15E9" w:rsidRDefault="0078312E">
            <w:pPr>
              <w:pStyle w:val="ESSPFigure"/>
              <w:keepNext w:val="0"/>
              <w:rPr>
                <w:rFonts w:ascii="Helvetica" w:hAnsi="Helvetica"/>
                <w:noProof w:val="0"/>
              </w:rPr>
            </w:pPr>
            <w:r>
              <w:rPr>
                <w:rFonts w:ascii="Helvetica" w:hAnsi="Helvetica"/>
                <w:noProof w:val="0"/>
              </w:rPr>
              <w:t>6.42E+02</w:t>
            </w:r>
          </w:p>
        </w:tc>
        <w:tc>
          <w:tcPr>
            <w:tcW w:w="1251" w:type="dxa"/>
            <w:hideMark/>
          </w:tcPr>
          <w:p w14:paraId="77C70BB3" w14:textId="77777777" w:rsidR="00DB15E9" w:rsidRDefault="0078312E">
            <w:pPr>
              <w:pStyle w:val="ESSPFigure"/>
              <w:keepNext w:val="0"/>
              <w:rPr>
                <w:rFonts w:ascii="Helvetica" w:hAnsi="Helvetica"/>
                <w:noProof w:val="0"/>
              </w:rPr>
            </w:pPr>
            <w:r>
              <w:rPr>
                <w:rFonts w:ascii="Helvetica" w:hAnsi="Helvetica"/>
                <w:noProof w:val="0"/>
              </w:rPr>
              <w:t>7.02E+01</w:t>
            </w:r>
          </w:p>
        </w:tc>
        <w:tc>
          <w:tcPr>
            <w:tcW w:w="1251" w:type="dxa"/>
            <w:hideMark/>
          </w:tcPr>
          <w:p w14:paraId="2A18DA8C" w14:textId="77777777" w:rsidR="00DB15E9" w:rsidRDefault="0078312E">
            <w:pPr>
              <w:pStyle w:val="ESSPFigure"/>
              <w:keepNext w:val="0"/>
              <w:rPr>
                <w:noProof w:val="0"/>
              </w:rPr>
            </w:pPr>
            <w:r>
              <w:rPr>
                <w:rFonts w:ascii="Helvetica" w:hAnsi="Helvetica"/>
                <w:noProof w:val="0"/>
              </w:rPr>
              <w:t>7.16E+02</w:t>
            </w:r>
          </w:p>
        </w:tc>
      </w:tr>
      <w:tr w:rsidR="00DB15E9" w14:paraId="3AF2C0F0" w14:textId="77777777" w:rsidTr="00DB15E9">
        <w:trPr>
          <w:trHeight w:val="300"/>
        </w:trPr>
        <w:tc>
          <w:tcPr>
            <w:tcW w:w="1390" w:type="dxa"/>
            <w:hideMark/>
          </w:tcPr>
          <w:p w14:paraId="0819D5CF" w14:textId="77777777" w:rsidR="00DB15E9" w:rsidRDefault="0078312E">
            <w:pPr>
              <w:pStyle w:val="ESSPFigure"/>
              <w:keepNext w:val="0"/>
              <w:rPr>
                <w:rFonts w:ascii="Helvetica" w:hAnsi="Helvetica"/>
                <w:noProof w:val="0"/>
              </w:rPr>
            </w:pPr>
            <w:r>
              <w:rPr>
                <w:rFonts w:ascii="Helvetica" w:hAnsi="Helvetica"/>
                <w:noProof w:val="0"/>
              </w:rPr>
              <w:t>1167</w:t>
            </w:r>
          </w:p>
        </w:tc>
        <w:tc>
          <w:tcPr>
            <w:tcW w:w="1310" w:type="dxa"/>
            <w:hideMark/>
          </w:tcPr>
          <w:p w14:paraId="622C090A" w14:textId="77777777" w:rsidR="00DB15E9" w:rsidRDefault="0078312E">
            <w:pPr>
              <w:pStyle w:val="ESSPFigure"/>
              <w:keepNext w:val="0"/>
              <w:rPr>
                <w:rFonts w:ascii="Helvetica" w:hAnsi="Helvetica"/>
                <w:noProof w:val="0"/>
              </w:rPr>
            </w:pPr>
            <w:r>
              <w:rPr>
                <w:rFonts w:ascii="Helvetica" w:hAnsi="Helvetica"/>
                <w:noProof w:val="0"/>
              </w:rPr>
              <w:t>0.00E+00</w:t>
            </w:r>
          </w:p>
        </w:tc>
        <w:tc>
          <w:tcPr>
            <w:tcW w:w="2057" w:type="dxa"/>
            <w:hideMark/>
          </w:tcPr>
          <w:p w14:paraId="4E63B03B" w14:textId="77777777" w:rsidR="00DB15E9" w:rsidRDefault="0078312E">
            <w:pPr>
              <w:pStyle w:val="ESSPFigure"/>
              <w:keepNext w:val="0"/>
              <w:rPr>
                <w:rFonts w:ascii="Helvetica" w:hAnsi="Helvetica"/>
                <w:noProof w:val="0"/>
              </w:rPr>
            </w:pPr>
            <w:r>
              <w:rPr>
                <w:rFonts w:ascii="Helvetica" w:hAnsi="Helvetica"/>
                <w:noProof w:val="0"/>
              </w:rPr>
              <w:t>3.14E+00</w:t>
            </w:r>
          </w:p>
        </w:tc>
        <w:tc>
          <w:tcPr>
            <w:tcW w:w="1251" w:type="dxa"/>
            <w:hideMark/>
          </w:tcPr>
          <w:p w14:paraId="616C9AFA" w14:textId="77777777" w:rsidR="00DB15E9" w:rsidRDefault="0078312E">
            <w:pPr>
              <w:pStyle w:val="ESSPFigure"/>
              <w:keepNext w:val="0"/>
              <w:rPr>
                <w:rFonts w:ascii="Helvetica" w:hAnsi="Helvetica"/>
                <w:noProof w:val="0"/>
              </w:rPr>
            </w:pPr>
            <w:r>
              <w:rPr>
                <w:rFonts w:ascii="Helvetica" w:hAnsi="Helvetica"/>
                <w:noProof w:val="0"/>
              </w:rPr>
              <w:t>5.42E+02</w:t>
            </w:r>
          </w:p>
        </w:tc>
        <w:tc>
          <w:tcPr>
            <w:tcW w:w="1251" w:type="dxa"/>
            <w:hideMark/>
          </w:tcPr>
          <w:p w14:paraId="1E8256F8" w14:textId="77777777" w:rsidR="00DB15E9" w:rsidRDefault="0078312E">
            <w:pPr>
              <w:pStyle w:val="ESSPFigure"/>
              <w:keepNext w:val="0"/>
              <w:rPr>
                <w:rFonts w:ascii="Helvetica" w:hAnsi="Helvetica"/>
                <w:noProof w:val="0"/>
              </w:rPr>
            </w:pPr>
            <w:r>
              <w:rPr>
                <w:rFonts w:ascii="Helvetica" w:hAnsi="Helvetica"/>
                <w:noProof w:val="0"/>
              </w:rPr>
              <w:t>5.09E+01</w:t>
            </w:r>
          </w:p>
        </w:tc>
        <w:tc>
          <w:tcPr>
            <w:tcW w:w="1251" w:type="dxa"/>
            <w:hideMark/>
          </w:tcPr>
          <w:p w14:paraId="094F1C06" w14:textId="77777777" w:rsidR="00DB15E9" w:rsidRDefault="0078312E">
            <w:pPr>
              <w:pStyle w:val="ESSPFigure"/>
              <w:keepNext w:val="0"/>
              <w:rPr>
                <w:noProof w:val="0"/>
              </w:rPr>
            </w:pPr>
            <w:r>
              <w:rPr>
                <w:rFonts w:ascii="Helvetica" w:hAnsi="Helvetica"/>
                <w:noProof w:val="0"/>
              </w:rPr>
              <w:t>5.96E+02</w:t>
            </w:r>
          </w:p>
        </w:tc>
      </w:tr>
      <w:tr w:rsidR="00DB15E9" w14:paraId="6149FE3C" w14:textId="77777777" w:rsidTr="00DB15E9">
        <w:trPr>
          <w:trHeight w:val="315"/>
        </w:trPr>
        <w:tc>
          <w:tcPr>
            <w:tcW w:w="1390" w:type="dxa"/>
            <w:hideMark/>
          </w:tcPr>
          <w:p w14:paraId="0DE077DB" w14:textId="77777777" w:rsidR="00DB15E9" w:rsidRDefault="0078312E">
            <w:pPr>
              <w:pStyle w:val="ESSPFigure"/>
              <w:keepNext w:val="0"/>
              <w:rPr>
                <w:rFonts w:ascii="Helvetica" w:hAnsi="Helvetica"/>
                <w:noProof w:val="0"/>
              </w:rPr>
            </w:pPr>
            <w:r>
              <w:rPr>
                <w:rFonts w:ascii="Helvetica" w:hAnsi="Helvetica"/>
                <w:noProof w:val="0"/>
              </w:rPr>
              <w:t>1458</w:t>
            </w:r>
          </w:p>
        </w:tc>
        <w:tc>
          <w:tcPr>
            <w:tcW w:w="1310" w:type="dxa"/>
            <w:hideMark/>
          </w:tcPr>
          <w:p w14:paraId="7762B6AA" w14:textId="77777777" w:rsidR="00DB15E9" w:rsidRDefault="0078312E">
            <w:pPr>
              <w:pStyle w:val="ESSPFigure"/>
              <w:keepNext w:val="0"/>
              <w:rPr>
                <w:rFonts w:ascii="Helvetica" w:hAnsi="Helvetica"/>
                <w:noProof w:val="0"/>
              </w:rPr>
            </w:pPr>
            <w:r>
              <w:rPr>
                <w:rFonts w:ascii="Helvetica" w:hAnsi="Helvetica"/>
                <w:noProof w:val="0"/>
              </w:rPr>
              <w:t>0.00E+00</w:t>
            </w:r>
          </w:p>
        </w:tc>
        <w:tc>
          <w:tcPr>
            <w:tcW w:w="2057" w:type="dxa"/>
            <w:hideMark/>
          </w:tcPr>
          <w:p w14:paraId="21069B1C" w14:textId="77777777" w:rsidR="00DB15E9" w:rsidRDefault="0078312E">
            <w:pPr>
              <w:pStyle w:val="ESSPFigure"/>
              <w:keepNext w:val="0"/>
              <w:rPr>
                <w:rFonts w:ascii="Helvetica" w:hAnsi="Helvetica"/>
                <w:noProof w:val="0"/>
              </w:rPr>
            </w:pPr>
            <w:r>
              <w:rPr>
                <w:rFonts w:ascii="Helvetica" w:hAnsi="Helvetica"/>
                <w:noProof w:val="0"/>
              </w:rPr>
              <w:t>2.61E+00</w:t>
            </w:r>
          </w:p>
        </w:tc>
        <w:tc>
          <w:tcPr>
            <w:tcW w:w="1251" w:type="dxa"/>
            <w:hideMark/>
          </w:tcPr>
          <w:p w14:paraId="157944AF" w14:textId="77777777" w:rsidR="00DB15E9" w:rsidRDefault="0078312E">
            <w:pPr>
              <w:pStyle w:val="ESSPFigure"/>
              <w:keepNext w:val="0"/>
              <w:rPr>
                <w:rFonts w:ascii="Helvetica" w:hAnsi="Helvetica"/>
                <w:noProof w:val="0"/>
              </w:rPr>
            </w:pPr>
            <w:r>
              <w:rPr>
                <w:rFonts w:ascii="Helvetica" w:hAnsi="Helvetica"/>
                <w:noProof w:val="0"/>
              </w:rPr>
              <w:t>4.67E+02</w:t>
            </w:r>
          </w:p>
        </w:tc>
        <w:tc>
          <w:tcPr>
            <w:tcW w:w="1251" w:type="dxa"/>
            <w:hideMark/>
          </w:tcPr>
          <w:p w14:paraId="684CBA4C" w14:textId="77777777" w:rsidR="00DB15E9" w:rsidRDefault="0078312E">
            <w:pPr>
              <w:pStyle w:val="ESSPFigure"/>
              <w:keepNext w:val="0"/>
              <w:rPr>
                <w:rFonts w:ascii="Helvetica" w:hAnsi="Helvetica"/>
                <w:noProof w:val="0"/>
              </w:rPr>
            </w:pPr>
            <w:r>
              <w:rPr>
                <w:rFonts w:ascii="Helvetica" w:hAnsi="Helvetica"/>
                <w:noProof w:val="0"/>
              </w:rPr>
              <w:t>3.90E+01</w:t>
            </w:r>
          </w:p>
        </w:tc>
        <w:tc>
          <w:tcPr>
            <w:tcW w:w="1251" w:type="dxa"/>
            <w:hideMark/>
          </w:tcPr>
          <w:p w14:paraId="6293F5CF" w14:textId="77777777" w:rsidR="00DB15E9" w:rsidRDefault="0078312E">
            <w:pPr>
              <w:pStyle w:val="ESSPFigure"/>
              <w:keepNext w:val="0"/>
              <w:rPr>
                <w:rFonts w:ascii="Helvetica" w:hAnsi="Helvetica"/>
                <w:noProof w:val="0"/>
              </w:rPr>
            </w:pPr>
            <w:r>
              <w:rPr>
                <w:rFonts w:ascii="Helvetica" w:hAnsi="Helvetica"/>
                <w:noProof w:val="0"/>
              </w:rPr>
              <w:t>5.09E+02</w:t>
            </w:r>
          </w:p>
        </w:tc>
      </w:tr>
    </w:tbl>
    <w:p w14:paraId="6EAB1D2F" w14:textId="77777777" w:rsidR="00DB15E9" w:rsidRDefault="0078312E">
      <w:pPr>
        <w:pStyle w:val="ESSPBodyText"/>
      </w:pPr>
      <w:r>
        <w:t>Rationale: Exposure to ionizing radiation degrades many materials and electronics in particular, and will require mitigation to ensure full instrument function over the design mission lifetime.</w:t>
      </w:r>
      <w:r>
        <w:rPr>
          <w:rFonts w:ascii="Helvetica" w:hAnsi="Helvetica"/>
        </w:rPr>
        <w:t xml:space="preserve"> </w:t>
      </w:r>
      <w:r>
        <w:t>Mitigation is typically achieved through application of the appropriate shielding.</w:t>
      </w:r>
      <w:r>
        <w:rPr>
          <w:rFonts w:ascii="Helvetica" w:hAnsi="Helvetica"/>
        </w:rPr>
        <w:t xml:space="preserve"> </w:t>
      </w:r>
      <w:r>
        <w:rPr>
          <w:bCs/>
        </w:rPr>
        <w:t xml:space="preserve">The LEO TID radiation environment is representative of exposure at an 813 km, sun-synchronous orbit. Analysis of dose absorption through shielding is based upon the SHIELDOSE2 model, which leverages </w:t>
      </w:r>
      <w:r>
        <w:rPr>
          <w:bCs/>
        </w:rPr>
        <w:lastRenderedPageBreak/>
        <w:t>NASA’s Radiation Belt Models, AE-8 and AP-8, and JPL’s Solar Proton Fluence Model.</w:t>
      </w:r>
      <w:r>
        <w:t> The TID accrues as a constant rate and may be scaled for shorter and longer mission durations.</w:t>
      </w:r>
    </w:p>
    <w:p w14:paraId="358B88AA" w14:textId="77777777" w:rsidR="00DB15E9" w:rsidRDefault="0078312E">
      <w:pPr>
        <w:pStyle w:val="ESSPBodyText"/>
      </w:pPr>
      <w:r>
        <w:t>The LEO data represent conservative conditions for a specific orbit.</w:t>
      </w:r>
      <w:r>
        <w:rPr>
          <w:bCs/>
        </w:rPr>
        <w:t xml:space="preserve"> </w:t>
      </w:r>
      <w:r>
        <w:t>While these data may envelop the TID environment of other LEO mission orbits (particularly those of lower altitude and inclination), Instrument Developers should analyze the TID environment for their Instrument’s specific orbit.</w:t>
      </w:r>
    </w:p>
    <w:p w14:paraId="4506AD83" w14:textId="77777777" w:rsidR="00DB15E9" w:rsidRDefault="0078312E">
      <w:pPr>
        <w:pStyle w:val="Heading4"/>
      </w:pPr>
      <w:bookmarkStart w:id="191" w:name="_Toc471910816"/>
      <w:r>
        <w:t>Micrometeoroids</w:t>
      </w:r>
      <w:bookmarkEnd w:id="191"/>
    </w:p>
    <w:p w14:paraId="2C3B4692" w14:textId="77777777" w:rsidR="00DB15E9" w:rsidRDefault="0078312E">
      <w:pPr>
        <w:pStyle w:val="Requirement"/>
      </w:pPr>
      <w:bookmarkStart w:id="192" w:name="OLE_LINK56"/>
      <w:bookmarkStart w:id="193" w:name="OLE_LINK57"/>
      <w:r>
        <w:t>The Instrument Developer should perform a probability analysis to determine the type and amount of shielding to mitigate the fluence of micrometeoroids in the expected mission orbit over the primary mission.</w:t>
      </w:r>
    </w:p>
    <w:bookmarkStart w:id="194" w:name="OLE_LINK58"/>
    <w:bookmarkEnd w:id="192"/>
    <w:bookmarkEnd w:id="193"/>
    <w:p w14:paraId="790F098E" w14:textId="77777777" w:rsidR="00DB15E9" w:rsidRDefault="0078312E">
      <w:pPr>
        <w:pStyle w:val="ESSPBodyText"/>
      </w:pPr>
      <w:r>
        <w:rPr>
          <w:rStyle w:val="ESSPBodyTextChar"/>
        </w:rPr>
        <w:fldChar w:fldCharType="begin"/>
      </w:r>
      <w:r>
        <w:rPr>
          <w:rStyle w:val="ESSPBodyTextChar"/>
        </w:rPr>
        <w:instrText xml:space="preserve"> REF _Ref211502676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Table 2</w:t>
      </w:r>
      <w:r>
        <w:rPr>
          <w:rStyle w:val="ESSPBodyTextChar"/>
        </w:rPr>
        <w:noBreakHyphen/>
        <w:t>11</w:t>
      </w:r>
      <w:r>
        <w:rPr>
          <w:rStyle w:val="ESSPBodyTextChar"/>
        </w:rPr>
        <w:fldChar w:fldCharType="end"/>
      </w:r>
      <w:r>
        <w:t xml:space="preserve"> and </w:t>
      </w:r>
      <w:r>
        <w:rPr>
          <w:rStyle w:val="ESSPBodyTextChar"/>
        </w:rPr>
        <w:t>Figure 2-8</w:t>
      </w:r>
      <w:r>
        <w:t xml:space="preserve"> provide a conservative micrometeoroid flux environment for LEO.</w:t>
      </w:r>
    </w:p>
    <w:bookmarkEnd w:id="194"/>
    <w:p w14:paraId="50EE8778" w14:textId="77777777" w:rsidR="00DB15E9" w:rsidRDefault="0078312E">
      <w:pPr>
        <w:pStyle w:val="ESSPBodyText"/>
      </w:pPr>
      <w:r>
        <w:t>Rationale:</w:t>
      </w:r>
      <w:r>
        <w:rPr>
          <w:bCs/>
        </w:rPr>
        <w:t xml:space="preserve"> </w:t>
      </w:r>
      <w:r>
        <w:t>Impacts from micrometeoroids may cause permanently degraded performance or damage to the hosted payload instrument.</w:t>
      </w:r>
      <w:r>
        <w:rPr>
          <w:bCs/>
        </w:rPr>
        <w:t xml:space="preserve"> </w:t>
      </w:r>
      <w:r>
        <w:t>This guidance provides estimates of the worst-case scenarios of micrometeoroid particle size and associated flux over the LEO domains.</w:t>
      </w:r>
      <w:r>
        <w:rPr>
          <w:bCs/>
        </w:rPr>
        <w:t xml:space="preserve"> </w:t>
      </w:r>
      <w:r>
        <w:t>The data come from the Grün flux model assuming a meteoroid mean velocity of 20 km/s and a constant average particle density of 2.5 g/cm</w:t>
      </w:r>
      <w:r>
        <w:rPr>
          <w:vertAlign w:val="superscript"/>
        </w:rPr>
        <w:t>3</w:t>
      </w:r>
      <w:r>
        <w:t>.</w:t>
      </w:r>
      <w:r>
        <w:rPr>
          <w:bCs/>
        </w:rPr>
        <w:t xml:space="preserve"> </w:t>
      </w:r>
      <w:r>
        <w:t>Of note, the most hazardous micrometeoroid environment in LEO is at an altitude of 2000 km.</w:t>
      </w:r>
      <w:r>
        <w:rPr>
          <w:bCs/>
        </w:rPr>
        <w:t xml:space="preserve"> </w:t>
      </w:r>
      <w:r>
        <w:t>If a less conservative LEO environment is desired, the Instrument Developer should perform an analysis tailored to the risk tolerance.</w:t>
      </w:r>
    </w:p>
    <w:p w14:paraId="69CFDC3C" w14:textId="77777777" w:rsidR="00DB15E9" w:rsidRDefault="0078312E">
      <w:pPr>
        <w:pStyle w:val="ESSPBodyText"/>
      </w:pPr>
      <w:bookmarkStart w:id="195" w:name="OLE_LINK59"/>
      <w:bookmarkStart w:id="196" w:name="OLE_LINK60"/>
      <w:r>
        <w:t>Micrometeoroid and artificial space debris flux guidelines are separate due to the stability of micrometeoroid flux over time, compared to the increase of artificial space debris.</w:t>
      </w:r>
      <w:bookmarkEnd w:id="195"/>
      <w:bookmarkEnd w:id="196"/>
    </w:p>
    <w:p w14:paraId="6640DB3C" w14:textId="77777777" w:rsidR="00DB15E9" w:rsidRDefault="0078312E">
      <w:pPr>
        <w:pStyle w:val="ESSPTableCaption"/>
      </w:pPr>
      <w:bookmarkStart w:id="197" w:name="_Ref211502676"/>
      <w:bookmarkStart w:id="198" w:name="_Toc453056572"/>
      <w:bookmarkStart w:id="199" w:name="_Toc471971559"/>
      <w:r>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11</w:t>
      </w:r>
      <w:r w:rsidR="00BA5284">
        <w:rPr>
          <w:noProof/>
        </w:rPr>
        <w:fldChar w:fldCharType="end"/>
      </w:r>
      <w:bookmarkEnd w:id="197"/>
      <w:r>
        <w:t>: Worst-case Micrometeoroid Environment</w:t>
      </w:r>
      <w:bookmarkEnd w:id="198"/>
      <w:bookmarkEnd w:id="199"/>
    </w:p>
    <w:tbl>
      <w:tblPr>
        <w:tblStyle w:val="TableGrid8"/>
        <w:tblW w:w="9265" w:type="dxa"/>
        <w:tblLook w:val="04A0" w:firstRow="1" w:lastRow="0" w:firstColumn="1" w:lastColumn="0" w:noHBand="0" w:noVBand="1"/>
      </w:tblPr>
      <w:tblGrid>
        <w:gridCol w:w="2394"/>
        <w:gridCol w:w="2394"/>
        <w:gridCol w:w="4477"/>
      </w:tblGrid>
      <w:tr w:rsidR="00DB15E9" w14:paraId="5FB39D01" w14:textId="77777777" w:rsidTr="00DB15E9">
        <w:trPr>
          <w:cnfStyle w:val="100000000000" w:firstRow="1" w:lastRow="0" w:firstColumn="0" w:lastColumn="0" w:oddVBand="0" w:evenVBand="0" w:oddHBand="0" w:evenHBand="0" w:firstRowFirstColumn="0" w:firstRowLastColumn="0" w:lastRowFirstColumn="0" w:lastRowLastColumn="0"/>
        </w:trPr>
        <w:tc>
          <w:tcPr>
            <w:tcW w:w="2394" w:type="dxa"/>
            <w:vMerge w:val="restart"/>
            <w:tcBorders>
              <w:left w:val="single" w:sz="4" w:space="0" w:color="000000" w:themeColor="text1"/>
              <w:right w:val="single" w:sz="4" w:space="0" w:color="FFFFFF" w:themeColor="background1"/>
            </w:tcBorders>
            <w:vAlign w:val="bottom"/>
          </w:tcPr>
          <w:p w14:paraId="61278D26" w14:textId="77777777" w:rsidR="00DB15E9" w:rsidRDefault="0078312E">
            <w:pPr>
              <w:pStyle w:val="ESSPBodyText"/>
              <w:spacing w:after="0"/>
            </w:pPr>
            <w:r>
              <w:t>Particle mass [g]</w:t>
            </w:r>
          </w:p>
        </w:tc>
        <w:tc>
          <w:tcPr>
            <w:tcW w:w="2394" w:type="dxa"/>
            <w:vMerge w:val="restart"/>
            <w:tcBorders>
              <w:left w:val="single" w:sz="4" w:space="0" w:color="FFFFFF" w:themeColor="background1"/>
              <w:right w:val="single" w:sz="4" w:space="0" w:color="FFFFFF" w:themeColor="background1"/>
            </w:tcBorders>
            <w:vAlign w:val="bottom"/>
          </w:tcPr>
          <w:p w14:paraId="455ECA6A" w14:textId="77777777" w:rsidR="00DB15E9" w:rsidRDefault="0078312E">
            <w:pPr>
              <w:pStyle w:val="ESSPBodyText"/>
              <w:spacing w:after="0"/>
            </w:pPr>
            <w:r>
              <w:t>Particle diameter [cm]</w:t>
            </w:r>
          </w:p>
        </w:tc>
        <w:tc>
          <w:tcPr>
            <w:tcW w:w="4477" w:type="dxa"/>
            <w:tcBorders>
              <w:left w:val="single" w:sz="4" w:space="0" w:color="FFFFFF" w:themeColor="background1"/>
              <w:right w:val="single" w:sz="4" w:space="0" w:color="000000" w:themeColor="text1"/>
            </w:tcBorders>
          </w:tcPr>
          <w:p w14:paraId="608815A7" w14:textId="77777777" w:rsidR="00DB15E9" w:rsidRDefault="0078312E">
            <w:pPr>
              <w:pStyle w:val="ESSPBodyText"/>
              <w:spacing w:after="0"/>
              <w:rPr>
                <w:rFonts w:ascii="Arial" w:hAnsi="Arial"/>
              </w:rPr>
            </w:pPr>
            <w:r>
              <w:t>Flux (particles/m</w:t>
            </w:r>
            <w:r>
              <w:rPr>
                <w:vertAlign w:val="superscript"/>
              </w:rPr>
              <w:t>2</w:t>
            </w:r>
            <w:r>
              <w:t>/year]</w:t>
            </w:r>
          </w:p>
        </w:tc>
      </w:tr>
      <w:tr w:rsidR="00DB15E9" w14:paraId="1CD11841" w14:textId="77777777" w:rsidTr="00DB15E9">
        <w:tc>
          <w:tcPr>
            <w:tcW w:w="2394" w:type="dxa"/>
            <w:vMerge/>
            <w:tcBorders>
              <w:left w:val="single" w:sz="4" w:space="0" w:color="000000" w:themeColor="text1"/>
              <w:right w:val="single" w:sz="4" w:space="0" w:color="FFFFFF" w:themeColor="background1"/>
            </w:tcBorders>
          </w:tcPr>
          <w:p w14:paraId="089B1A71" w14:textId="77777777" w:rsidR="00DB15E9" w:rsidRDefault="00DB15E9">
            <w:pPr>
              <w:pStyle w:val="ESSPBodyText"/>
              <w:spacing w:after="0"/>
            </w:pPr>
          </w:p>
        </w:tc>
        <w:tc>
          <w:tcPr>
            <w:tcW w:w="2394" w:type="dxa"/>
            <w:vMerge/>
            <w:tcBorders>
              <w:left w:val="single" w:sz="4" w:space="0" w:color="FFFFFF" w:themeColor="background1"/>
              <w:right w:val="single" w:sz="4" w:space="0" w:color="FFFFFF" w:themeColor="background1"/>
            </w:tcBorders>
          </w:tcPr>
          <w:p w14:paraId="415203D1" w14:textId="77777777" w:rsidR="00DB15E9" w:rsidRDefault="00DB15E9">
            <w:pPr>
              <w:pStyle w:val="ESSPBodyText"/>
              <w:spacing w:after="0"/>
            </w:pPr>
          </w:p>
        </w:tc>
        <w:tc>
          <w:tcPr>
            <w:tcW w:w="4477" w:type="dxa"/>
            <w:tcBorders>
              <w:left w:val="single" w:sz="4" w:space="0" w:color="FFFFFF" w:themeColor="background1"/>
              <w:right w:val="single" w:sz="4" w:space="0" w:color="FFFFFF" w:themeColor="background1"/>
            </w:tcBorders>
            <w:shd w:val="clear" w:color="auto" w:fill="000000" w:themeFill="text1"/>
          </w:tcPr>
          <w:p w14:paraId="02694D8F" w14:textId="77777777" w:rsidR="00DB15E9" w:rsidRDefault="0078312E">
            <w:pPr>
              <w:pStyle w:val="ESSPBodyText"/>
              <w:spacing w:after="0"/>
            </w:pPr>
            <w:r>
              <w:t>LEO</w:t>
            </w:r>
          </w:p>
        </w:tc>
      </w:tr>
      <w:tr w:rsidR="00DB15E9" w14:paraId="0305536C" w14:textId="77777777" w:rsidTr="00DB15E9">
        <w:tc>
          <w:tcPr>
            <w:tcW w:w="2394" w:type="dxa"/>
          </w:tcPr>
          <w:p w14:paraId="1C9C3D06" w14:textId="77777777" w:rsidR="00DB15E9" w:rsidRDefault="0078312E">
            <w:pPr>
              <w:pStyle w:val="ESSPBodyText"/>
              <w:spacing w:after="0"/>
            </w:pPr>
            <w:r>
              <w:t>1.00E-18</w:t>
            </w:r>
          </w:p>
        </w:tc>
        <w:tc>
          <w:tcPr>
            <w:tcW w:w="2394" w:type="dxa"/>
            <w:tcBorders>
              <w:right w:val="single" w:sz="4" w:space="0" w:color="FFFFFF" w:themeColor="background1"/>
            </w:tcBorders>
          </w:tcPr>
          <w:p w14:paraId="30DDDDA2" w14:textId="77777777" w:rsidR="00DB15E9" w:rsidRDefault="0078312E">
            <w:pPr>
              <w:pStyle w:val="ESSPBodyText"/>
              <w:spacing w:after="0"/>
            </w:pPr>
            <w:r>
              <w:t>9.14E-07</w:t>
            </w:r>
          </w:p>
        </w:tc>
        <w:tc>
          <w:tcPr>
            <w:tcW w:w="4477" w:type="dxa"/>
            <w:tcBorders>
              <w:left w:val="single" w:sz="4" w:space="0" w:color="FFFFFF" w:themeColor="background1"/>
            </w:tcBorders>
          </w:tcPr>
          <w:p w14:paraId="4A8C4A25" w14:textId="77777777" w:rsidR="00DB15E9" w:rsidRDefault="0078312E">
            <w:pPr>
              <w:pStyle w:val="ESSPBodyText"/>
              <w:spacing w:after="0"/>
            </w:pPr>
            <w:r>
              <w:t>1.20E+07</w:t>
            </w:r>
          </w:p>
        </w:tc>
      </w:tr>
      <w:tr w:rsidR="00DB15E9" w14:paraId="398C3AA1" w14:textId="77777777" w:rsidTr="00DB15E9">
        <w:tc>
          <w:tcPr>
            <w:tcW w:w="2394" w:type="dxa"/>
          </w:tcPr>
          <w:p w14:paraId="7E5E11E0" w14:textId="77777777" w:rsidR="00DB15E9" w:rsidRDefault="0078312E">
            <w:pPr>
              <w:pStyle w:val="ESSPBodyText"/>
              <w:spacing w:after="0"/>
            </w:pPr>
            <w:r>
              <w:t>1.00E-17</w:t>
            </w:r>
          </w:p>
        </w:tc>
        <w:tc>
          <w:tcPr>
            <w:tcW w:w="2394" w:type="dxa"/>
          </w:tcPr>
          <w:p w14:paraId="79E0AEB1" w14:textId="77777777" w:rsidR="00DB15E9" w:rsidRDefault="0078312E">
            <w:pPr>
              <w:pStyle w:val="ESSPBodyText"/>
              <w:spacing w:after="0"/>
            </w:pPr>
            <w:r>
              <w:t>1.97E-06</w:t>
            </w:r>
          </w:p>
        </w:tc>
        <w:tc>
          <w:tcPr>
            <w:tcW w:w="4477" w:type="dxa"/>
          </w:tcPr>
          <w:p w14:paraId="3B9AB7DC" w14:textId="77777777" w:rsidR="00DB15E9" w:rsidRDefault="0078312E">
            <w:pPr>
              <w:pStyle w:val="ESSPBodyText"/>
              <w:spacing w:after="0"/>
            </w:pPr>
            <w:r>
              <w:t>1.75E+06</w:t>
            </w:r>
          </w:p>
        </w:tc>
      </w:tr>
      <w:tr w:rsidR="00DB15E9" w14:paraId="0C95D7C1" w14:textId="77777777" w:rsidTr="00DB15E9">
        <w:tc>
          <w:tcPr>
            <w:tcW w:w="2394" w:type="dxa"/>
          </w:tcPr>
          <w:p w14:paraId="53B205CF" w14:textId="77777777" w:rsidR="00DB15E9" w:rsidRDefault="0078312E">
            <w:pPr>
              <w:pStyle w:val="ESSPBodyText"/>
              <w:spacing w:after="0"/>
            </w:pPr>
            <w:r>
              <w:t>1.00E-16</w:t>
            </w:r>
          </w:p>
        </w:tc>
        <w:tc>
          <w:tcPr>
            <w:tcW w:w="2394" w:type="dxa"/>
          </w:tcPr>
          <w:p w14:paraId="6F95AF70" w14:textId="77777777" w:rsidR="00DB15E9" w:rsidRDefault="0078312E">
            <w:pPr>
              <w:pStyle w:val="ESSPBodyText"/>
              <w:spacing w:after="0"/>
            </w:pPr>
            <w:r>
              <w:t>4.24E-06</w:t>
            </w:r>
          </w:p>
        </w:tc>
        <w:tc>
          <w:tcPr>
            <w:tcW w:w="4477" w:type="dxa"/>
          </w:tcPr>
          <w:p w14:paraId="5C784256" w14:textId="77777777" w:rsidR="00DB15E9" w:rsidRDefault="0078312E">
            <w:pPr>
              <w:pStyle w:val="ESSPBodyText"/>
              <w:spacing w:after="0"/>
            </w:pPr>
            <w:r>
              <w:t>2.71E+05</w:t>
            </w:r>
          </w:p>
        </w:tc>
      </w:tr>
      <w:tr w:rsidR="00DB15E9" w14:paraId="5249E698" w14:textId="77777777" w:rsidTr="00DB15E9">
        <w:tc>
          <w:tcPr>
            <w:tcW w:w="2394" w:type="dxa"/>
          </w:tcPr>
          <w:p w14:paraId="6B82B9EA" w14:textId="77777777" w:rsidR="00DB15E9" w:rsidRDefault="0078312E">
            <w:pPr>
              <w:pStyle w:val="ESSPBodyText"/>
              <w:spacing w:after="0"/>
            </w:pPr>
            <w:r>
              <w:t>1.00E-15</w:t>
            </w:r>
          </w:p>
        </w:tc>
        <w:tc>
          <w:tcPr>
            <w:tcW w:w="2394" w:type="dxa"/>
          </w:tcPr>
          <w:p w14:paraId="112325B2" w14:textId="77777777" w:rsidR="00DB15E9" w:rsidRDefault="0078312E">
            <w:pPr>
              <w:pStyle w:val="ESSPBodyText"/>
              <w:spacing w:after="0"/>
            </w:pPr>
            <w:r>
              <w:t>9.14E-06</w:t>
            </w:r>
          </w:p>
        </w:tc>
        <w:tc>
          <w:tcPr>
            <w:tcW w:w="4477" w:type="dxa"/>
          </w:tcPr>
          <w:p w14:paraId="0C69CF7F" w14:textId="77777777" w:rsidR="00DB15E9" w:rsidRDefault="0078312E">
            <w:pPr>
              <w:pStyle w:val="ESSPBodyText"/>
              <w:spacing w:after="0"/>
            </w:pPr>
            <w:r>
              <w:t>4.87E+04</w:t>
            </w:r>
          </w:p>
        </w:tc>
      </w:tr>
      <w:tr w:rsidR="00DB15E9" w14:paraId="229D0322" w14:textId="77777777" w:rsidTr="00DB15E9">
        <w:tc>
          <w:tcPr>
            <w:tcW w:w="2394" w:type="dxa"/>
          </w:tcPr>
          <w:p w14:paraId="78203C8B" w14:textId="77777777" w:rsidR="00DB15E9" w:rsidRDefault="0078312E">
            <w:pPr>
              <w:pStyle w:val="ESSPBodyText"/>
              <w:spacing w:after="0"/>
            </w:pPr>
            <w:r>
              <w:t>1.00E-14</w:t>
            </w:r>
          </w:p>
        </w:tc>
        <w:tc>
          <w:tcPr>
            <w:tcW w:w="2394" w:type="dxa"/>
          </w:tcPr>
          <w:p w14:paraId="07BF8CD9" w14:textId="77777777" w:rsidR="00DB15E9" w:rsidRDefault="0078312E">
            <w:pPr>
              <w:pStyle w:val="ESSPBodyText"/>
              <w:spacing w:after="0"/>
            </w:pPr>
            <w:r>
              <w:t>1.97E-05</w:t>
            </w:r>
          </w:p>
        </w:tc>
        <w:tc>
          <w:tcPr>
            <w:tcW w:w="4477" w:type="dxa"/>
          </w:tcPr>
          <w:p w14:paraId="5A8B071E" w14:textId="77777777" w:rsidR="00DB15E9" w:rsidRDefault="0078312E">
            <w:pPr>
              <w:pStyle w:val="ESSPBodyText"/>
              <w:spacing w:after="0"/>
            </w:pPr>
            <w:r>
              <w:t>1.15E+04</w:t>
            </w:r>
          </w:p>
        </w:tc>
      </w:tr>
      <w:tr w:rsidR="00DB15E9" w14:paraId="696BC6AE" w14:textId="77777777" w:rsidTr="00DB15E9">
        <w:tc>
          <w:tcPr>
            <w:tcW w:w="2394" w:type="dxa"/>
          </w:tcPr>
          <w:p w14:paraId="7C8E0524" w14:textId="77777777" w:rsidR="00DB15E9" w:rsidRDefault="0078312E">
            <w:pPr>
              <w:pStyle w:val="ESSPBodyText"/>
              <w:spacing w:after="0"/>
            </w:pPr>
            <w:r>
              <w:t>1.00E-13</w:t>
            </w:r>
          </w:p>
        </w:tc>
        <w:tc>
          <w:tcPr>
            <w:tcW w:w="2394" w:type="dxa"/>
          </w:tcPr>
          <w:p w14:paraId="6F683574" w14:textId="77777777" w:rsidR="00DB15E9" w:rsidRDefault="0078312E">
            <w:pPr>
              <w:pStyle w:val="ESSPBodyText"/>
              <w:spacing w:after="0"/>
            </w:pPr>
            <w:r>
              <w:t>4.24E-05</w:t>
            </w:r>
          </w:p>
        </w:tc>
        <w:tc>
          <w:tcPr>
            <w:tcW w:w="4477" w:type="dxa"/>
          </w:tcPr>
          <w:p w14:paraId="0BD79B41" w14:textId="77777777" w:rsidR="00DB15E9" w:rsidRDefault="0078312E">
            <w:pPr>
              <w:pStyle w:val="ESSPBodyText"/>
              <w:spacing w:after="0"/>
            </w:pPr>
            <w:r>
              <w:t>3.80E+03</w:t>
            </w:r>
          </w:p>
        </w:tc>
      </w:tr>
      <w:tr w:rsidR="00DB15E9" w14:paraId="093F6AF3" w14:textId="77777777" w:rsidTr="00DB15E9">
        <w:tc>
          <w:tcPr>
            <w:tcW w:w="2394" w:type="dxa"/>
          </w:tcPr>
          <w:p w14:paraId="66B1F8A5" w14:textId="77777777" w:rsidR="00DB15E9" w:rsidRDefault="0078312E">
            <w:pPr>
              <w:pStyle w:val="ESSPBodyText"/>
              <w:spacing w:after="0"/>
            </w:pPr>
            <w:r>
              <w:t>1.00E-12</w:t>
            </w:r>
          </w:p>
        </w:tc>
        <w:tc>
          <w:tcPr>
            <w:tcW w:w="2394" w:type="dxa"/>
          </w:tcPr>
          <w:p w14:paraId="549CC04F" w14:textId="77777777" w:rsidR="00DB15E9" w:rsidRDefault="0078312E">
            <w:pPr>
              <w:pStyle w:val="ESSPBodyText"/>
              <w:spacing w:after="0"/>
            </w:pPr>
            <w:r>
              <w:t>9.14E-05</w:t>
            </w:r>
          </w:p>
        </w:tc>
        <w:tc>
          <w:tcPr>
            <w:tcW w:w="4477" w:type="dxa"/>
          </w:tcPr>
          <w:p w14:paraId="1C8A85E5" w14:textId="77777777" w:rsidR="00DB15E9" w:rsidRDefault="0078312E">
            <w:pPr>
              <w:pStyle w:val="ESSPBodyText"/>
              <w:spacing w:after="0"/>
            </w:pPr>
            <w:r>
              <w:t>1.58E+03</w:t>
            </w:r>
          </w:p>
        </w:tc>
      </w:tr>
      <w:tr w:rsidR="00DB15E9" w14:paraId="15CFF91A" w14:textId="77777777" w:rsidTr="00DB15E9">
        <w:tc>
          <w:tcPr>
            <w:tcW w:w="2394" w:type="dxa"/>
          </w:tcPr>
          <w:p w14:paraId="60F6AE10" w14:textId="77777777" w:rsidR="00DB15E9" w:rsidRDefault="0078312E">
            <w:pPr>
              <w:pStyle w:val="ESSPBodyText"/>
              <w:spacing w:after="0"/>
            </w:pPr>
            <w:r>
              <w:t>1.00E-11</w:t>
            </w:r>
          </w:p>
        </w:tc>
        <w:tc>
          <w:tcPr>
            <w:tcW w:w="2394" w:type="dxa"/>
          </w:tcPr>
          <w:p w14:paraId="72808815" w14:textId="77777777" w:rsidR="00DB15E9" w:rsidRDefault="0078312E">
            <w:pPr>
              <w:pStyle w:val="ESSPBodyText"/>
              <w:spacing w:after="0"/>
            </w:pPr>
            <w:r>
              <w:t>1.97E-04</w:t>
            </w:r>
          </w:p>
        </w:tc>
        <w:tc>
          <w:tcPr>
            <w:tcW w:w="4477" w:type="dxa"/>
          </w:tcPr>
          <w:p w14:paraId="47F17987" w14:textId="77777777" w:rsidR="00DB15E9" w:rsidRDefault="0078312E">
            <w:pPr>
              <w:pStyle w:val="ESSPBodyText"/>
              <w:spacing w:after="0"/>
            </w:pPr>
            <w:r>
              <w:t>6.83E+02</w:t>
            </w:r>
          </w:p>
        </w:tc>
      </w:tr>
      <w:tr w:rsidR="00DB15E9" w14:paraId="33A9DB8D" w14:textId="77777777" w:rsidTr="00DB15E9">
        <w:tc>
          <w:tcPr>
            <w:tcW w:w="2394" w:type="dxa"/>
          </w:tcPr>
          <w:p w14:paraId="669411BE" w14:textId="77777777" w:rsidR="00DB15E9" w:rsidRDefault="0078312E">
            <w:pPr>
              <w:pStyle w:val="ESSPBodyText"/>
              <w:spacing w:after="0"/>
            </w:pPr>
            <w:r>
              <w:t>1.00E-10</w:t>
            </w:r>
          </w:p>
        </w:tc>
        <w:tc>
          <w:tcPr>
            <w:tcW w:w="2394" w:type="dxa"/>
          </w:tcPr>
          <w:p w14:paraId="597981CF" w14:textId="77777777" w:rsidR="00DB15E9" w:rsidRDefault="0078312E">
            <w:pPr>
              <w:pStyle w:val="ESSPBodyText"/>
              <w:spacing w:after="0"/>
            </w:pPr>
            <w:r>
              <w:t>4.24E-04</w:t>
            </w:r>
          </w:p>
        </w:tc>
        <w:tc>
          <w:tcPr>
            <w:tcW w:w="4477" w:type="dxa"/>
          </w:tcPr>
          <w:p w14:paraId="2575CF99" w14:textId="77777777" w:rsidR="00DB15E9" w:rsidRDefault="0078312E">
            <w:pPr>
              <w:pStyle w:val="ESSPBodyText"/>
              <w:spacing w:after="0"/>
            </w:pPr>
            <w:r>
              <w:t>2.92E+02</w:t>
            </w:r>
          </w:p>
        </w:tc>
      </w:tr>
      <w:tr w:rsidR="00DB15E9" w14:paraId="2A8098D8" w14:textId="77777777" w:rsidTr="00DB15E9">
        <w:tc>
          <w:tcPr>
            <w:tcW w:w="2394" w:type="dxa"/>
          </w:tcPr>
          <w:p w14:paraId="16588831" w14:textId="77777777" w:rsidR="00DB15E9" w:rsidRDefault="0078312E">
            <w:pPr>
              <w:pStyle w:val="ESSPBodyText"/>
              <w:spacing w:after="0"/>
            </w:pPr>
            <w:r>
              <w:t>1.00E-09</w:t>
            </w:r>
          </w:p>
        </w:tc>
        <w:tc>
          <w:tcPr>
            <w:tcW w:w="2394" w:type="dxa"/>
          </w:tcPr>
          <w:p w14:paraId="5D6D7CB7" w14:textId="77777777" w:rsidR="00DB15E9" w:rsidRDefault="0078312E">
            <w:pPr>
              <w:pStyle w:val="ESSPBodyText"/>
              <w:spacing w:after="0"/>
            </w:pPr>
            <w:r>
              <w:t>9.14E-04</w:t>
            </w:r>
          </w:p>
        </w:tc>
        <w:tc>
          <w:tcPr>
            <w:tcW w:w="4477" w:type="dxa"/>
          </w:tcPr>
          <w:p w14:paraId="4C566C2B" w14:textId="77777777" w:rsidR="00DB15E9" w:rsidRDefault="0078312E">
            <w:pPr>
              <w:pStyle w:val="ESSPBodyText"/>
              <w:spacing w:after="0"/>
            </w:pPr>
            <w:r>
              <w:t>1.38E+02</w:t>
            </w:r>
          </w:p>
        </w:tc>
      </w:tr>
      <w:tr w:rsidR="00DB15E9" w14:paraId="45468DA4" w14:textId="77777777" w:rsidTr="00DB15E9">
        <w:tc>
          <w:tcPr>
            <w:tcW w:w="2394" w:type="dxa"/>
          </w:tcPr>
          <w:p w14:paraId="22746D8A" w14:textId="77777777" w:rsidR="00DB15E9" w:rsidRDefault="0078312E">
            <w:pPr>
              <w:pStyle w:val="ESSPBodyText"/>
              <w:spacing w:after="0"/>
            </w:pPr>
            <w:r>
              <w:t>1.00E-08</w:t>
            </w:r>
          </w:p>
        </w:tc>
        <w:tc>
          <w:tcPr>
            <w:tcW w:w="2394" w:type="dxa"/>
          </w:tcPr>
          <w:p w14:paraId="679AFD27" w14:textId="77777777" w:rsidR="00DB15E9" w:rsidRDefault="0078312E">
            <w:pPr>
              <w:pStyle w:val="ESSPBodyText"/>
              <w:spacing w:after="0"/>
            </w:pPr>
            <w:r>
              <w:t>1.97E-03</w:t>
            </w:r>
          </w:p>
        </w:tc>
        <w:tc>
          <w:tcPr>
            <w:tcW w:w="4477" w:type="dxa"/>
          </w:tcPr>
          <w:p w14:paraId="3FEEBFF2" w14:textId="77777777" w:rsidR="00DB15E9" w:rsidRDefault="0078312E">
            <w:pPr>
              <w:pStyle w:val="ESSPBodyText"/>
              <w:spacing w:after="0"/>
            </w:pPr>
            <w:r>
              <w:t>5.41E+01</w:t>
            </w:r>
          </w:p>
        </w:tc>
      </w:tr>
      <w:tr w:rsidR="00DB15E9" w14:paraId="1161C6BC" w14:textId="77777777" w:rsidTr="00DB15E9">
        <w:tc>
          <w:tcPr>
            <w:tcW w:w="2394" w:type="dxa"/>
          </w:tcPr>
          <w:p w14:paraId="3EB4A78B" w14:textId="77777777" w:rsidR="00DB15E9" w:rsidRDefault="0078312E">
            <w:pPr>
              <w:pStyle w:val="ESSPBodyText"/>
              <w:spacing w:after="0"/>
            </w:pPr>
            <w:r>
              <w:t>1.00E-07</w:t>
            </w:r>
          </w:p>
        </w:tc>
        <w:tc>
          <w:tcPr>
            <w:tcW w:w="2394" w:type="dxa"/>
          </w:tcPr>
          <w:p w14:paraId="338C469B" w14:textId="77777777" w:rsidR="00DB15E9" w:rsidRDefault="0078312E">
            <w:pPr>
              <w:pStyle w:val="ESSPBodyText"/>
              <w:spacing w:after="0"/>
            </w:pPr>
            <w:r>
              <w:t>4.24E-03</w:t>
            </w:r>
          </w:p>
        </w:tc>
        <w:tc>
          <w:tcPr>
            <w:tcW w:w="4477" w:type="dxa"/>
          </w:tcPr>
          <w:p w14:paraId="277D6A3F" w14:textId="77777777" w:rsidR="00DB15E9" w:rsidRDefault="0078312E">
            <w:pPr>
              <w:pStyle w:val="ESSPBodyText"/>
              <w:spacing w:after="0"/>
            </w:pPr>
            <w:r>
              <w:t>1.38E+01</w:t>
            </w:r>
          </w:p>
        </w:tc>
      </w:tr>
      <w:tr w:rsidR="00DB15E9" w14:paraId="7C8ADAE6" w14:textId="77777777" w:rsidTr="00DB15E9">
        <w:tc>
          <w:tcPr>
            <w:tcW w:w="2394" w:type="dxa"/>
          </w:tcPr>
          <w:p w14:paraId="6F11D796" w14:textId="77777777" w:rsidR="00DB15E9" w:rsidRDefault="0078312E">
            <w:pPr>
              <w:pStyle w:val="ESSPBodyText"/>
              <w:spacing w:after="0"/>
            </w:pPr>
            <w:r>
              <w:t>1.00E-06</w:t>
            </w:r>
          </w:p>
        </w:tc>
        <w:tc>
          <w:tcPr>
            <w:tcW w:w="2394" w:type="dxa"/>
          </w:tcPr>
          <w:p w14:paraId="1A8885AA" w14:textId="77777777" w:rsidR="00DB15E9" w:rsidRDefault="0078312E">
            <w:pPr>
              <w:pStyle w:val="ESSPBodyText"/>
              <w:spacing w:after="0"/>
            </w:pPr>
            <w:r>
              <w:t>9.14E-03</w:t>
            </w:r>
          </w:p>
        </w:tc>
        <w:tc>
          <w:tcPr>
            <w:tcW w:w="4477" w:type="dxa"/>
          </w:tcPr>
          <w:p w14:paraId="027C7B17" w14:textId="77777777" w:rsidR="00DB15E9" w:rsidRDefault="0078312E">
            <w:pPr>
              <w:pStyle w:val="ESSPBodyText"/>
              <w:spacing w:after="0"/>
            </w:pPr>
            <w:r>
              <w:t>2.16E+00</w:t>
            </w:r>
          </w:p>
        </w:tc>
      </w:tr>
      <w:tr w:rsidR="00DB15E9" w14:paraId="7DC5C4DB" w14:textId="77777777" w:rsidTr="00DB15E9">
        <w:tc>
          <w:tcPr>
            <w:tcW w:w="2394" w:type="dxa"/>
          </w:tcPr>
          <w:p w14:paraId="75FC9693" w14:textId="77777777" w:rsidR="00DB15E9" w:rsidRDefault="0078312E">
            <w:pPr>
              <w:pStyle w:val="ESSPBodyText"/>
              <w:spacing w:after="0"/>
            </w:pPr>
            <w:r>
              <w:t>1.00E-05</w:t>
            </w:r>
          </w:p>
        </w:tc>
        <w:tc>
          <w:tcPr>
            <w:tcW w:w="2394" w:type="dxa"/>
          </w:tcPr>
          <w:p w14:paraId="76298141" w14:textId="77777777" w:rsidR="00DB15E9" w:rsidRDefault="0078312E">
            <w:pPr>
              <w:pStyle w:val="ESSPBodyText"/>
              <w:spacing w:after="0"/>
            </w:pPr>
            <w:r>
              <w:t>1.97E-02</w:t>
            </w:r>
          </w:p>
        </w:tc>
        <w:tc>
          <w:tcPr>
            <w:tcW w:w="4477" w:type="dxa"/>
          </w:tcPr>
          <w:p w14:paraId="3150A48F" w14:textId="77777777" w:rsidR="00DB15E9" w:rsidRDefault="0078312E">
            <w:pPr>
              <w:pStyle w:val="ESSPBodyText"/>
              <w:spacing w:after="0"/>
            </w:pPr>
            <w:r>
              <w:t>2.12E-01</w:t>
            </w:r>
          </w:p>
        </w:tc>
      </w:tr>
      <w:tr w:rsidR="00DB15E9" w14:paraId="4C4995B3" w14:textId="77777777" w:rsidTr="00DB15E9">
        <w:tc>
          <w:tcPr>
            <w:tcW w:w="2394" w:type="dxa"/>
          </w:tcPr>
          <w:p w14:paraId="271E0DA1" w14:textId="77777777" w:rsidR="00DB15E9" w:rsidRDefault="0078312E">
            <w:pPr>
              <w:pStyle w:val="ESSPBodyText"/>
              <w:spacing w:after="0"/>
            </w:pPr>
            <w:r>
              <w:t>1.00E-04</w:t>
            </w:r>
          </w:p>
        </w:tc>
        <w:tc>
          <w:tcPr>
            <w:tcW w:w="2394" w:type="dxa"/>
          </w:tcPr>
          <w:p w14:paraId="46FDADEF" w14:textId="77777777" w:rsidR="00DB15E9" w:rsidRDefault="0078312E">
            <w:pPr>
              <w:pStyle w:val="ESSPBodyText"/>
              <w:spacing w:after="0"/>
            </w:pPr>
            <w:r>
              <w:t>4.24E-02</w:t>
            </w:r>
          </w:p>
        </w:tc>
        <w:tc>
          <w:tcPr>
            <w:tcW w:w="4477" w:type="dxa"/>
          </w:tcPr>
          <w:p w14:paraId="0D067881" w14:textId="77777777" w:rsidR="00DB15E9" w:rsidRDefault="0078312E">
            <w:pPr>
              <w:pStyle w:val="ESSPBodyText"/>
              <w:spacing w:after="0"/>
            </w:pPr>
            <w:r>
              <w:t>1.50E-02</w:t>
            </w:r>
          </w:p>
        </w:tc>
      </w:tr>
      <w:tr w:rsidR="00DB15E9" w14:paraId="391BC054" w14:textId="77777777" w:rsidTr="00DB15E9">
        <w:tc>
          <w:tcPr>
            <w:tcW w:w="2394" w:type="dxa"/>
          </w:tcPr>
          <w:p w14:paraId="3E00CDA4" w14:textId="77777777" w:rsidR="00DB15E9" w:rsidRDefault="0078312E">
            <w:pPr>
              <w:pStyle w:val="ESSPBodyText"/>
              <w:spacing w:after="0"/>
            </w:pPr>
            <w:r>
              <w:t>1.00E-03</w:t>
            </w:r>
          </w:p>
        </w:tc>
        <w:tc>
          <w:tcPr>
            <w:tcW w:w="2394" w:type="dxa"/>
          </w:tcPr>
          <w:p w14:paraId="3FDDEFB5" w14:textId="77777777" w:rsidR="00DB15E9" w:rsidRDefault="0078312E">
            <w:pPr>
              <w:pStyle w:val="ESSPBodyText"/>
              <w:spacing w:after="0"/>
            </w:pPr>
            <w:r>
              <w:t>9.14E-02</w:t>
            </w:r>
          </w:p>
        </w:tc>
        <w:tc>
          <w:tcPr>
            <w:tcW w:w="4477" w:type="dxa"/>
          </w:tcPr>
          <w:p w14:paraId="4041D882" w14:textId="77777777" w:rsidR="00DB15E9" w:rsidRDefault="0078312E">
            <w:pPr>
              <w:pStyle w:val="ESSPBodyText"/>
              <w:spacing w:after="0"/>
            </w:pPr>
            <w:r>
              <w:t>8.65E-04</w:t>
            </w:r>
          </w:p>
        </w:tc>
      </w:tr>
      <w:tr w:rsidR="00DB15E9" w14:paraId="4B5C6BB8" w14:textId="77777777" w:rsidTr="00DB15E9">
        <w:tc>
          <w:tcPr>
            <w:tcW w:w="2394" w:type="dxa"/>
          </w:tcPr>
          <w:p w14:paraId="78AE2CD4" w14:textId="77777777" w:rsidR="00DB15E9" w:rsidRDefault="0078312E">
            <w:pPr>
              <w:pStyle w:val="ESSPBodyText"/>
              <w:spacing w:after="0"/>
            </w:pPr>
            <w:r>
              <w:t>1.00E-02</w:t>
            </w:r>
          </w:p>
        </w:tc>
        <w:tc>
          <w:tcPr>
            <w:tcW w:w="2394" w:type="dxa"/>
          </w:tcPr>
          <w:p w14:paraId="4CFACACF" w14:textId="77777777" w:rsidR="00DB15E9" w:rsidRDefault="0078312E">
            <w:pPr>
              <w:pStyle w:val="ESSPBodyText"/>
              <w:spacing w:after="0"/>
            </w:pPr>
            <w:r>
              <w:t>1.97E-01</w:t>
            </w:r>
          </w:p>
        </w:tc>
        <w:tc>
          <w:tcPr>
            <w:tcW w:w="4477" w:type="dxa"/>
          </w:tcPr>
          <w:p w14:paraId="4C434289" w14:textId="77777777" w:rsidR="00DB15E9" w:rsidRDefault="0078312E">
            <w:pPr>
              <w:pStyle w:val="ESSPBodyText"/>
              <w:spacing w:after="0"/>
            </w:pPr>
            <w:r>
              <w:t>4.45E-05</w:t>
            </w:r>
          </w:p>
        </w:tc>
      </w:tr>
      <w:tr w:rsidR="00DB15E9" w14:paraId="422BBD64" w14:textId="77777777" w:rsidTr="00DB15E9">
        <w:tc>
          <w:tcPr>
            <w:tcW w:w="2394" w:type="dxa"/>
          </w:tcPr>
          <w:p w14:paraId="339D458A" w14:textId="77777777" w:rsidR="00DB15E9" w:rsidRDefault="0078312E">
            <w:pPr>
              <w:pStyle w:val="ESSPBodyText"/>
              <w:spacing w:after="0"/>
            </w:pPr>
            <w:r>
              <w:lastRenderedPageBreak/>
              <w:t>1.00E-01</w:t>
            </w:r>
          </w:p>
        </w:tc>
        <w:tc>
          <w:tcPr>
            <w:tcW w:w="2394" w:type="dxa"/>
          </w:tcPr>
          <w:p w14:paraId="338194DA" w14:textId="77777777" w:rsidR="00DB15E9" w:rsidRDefault="0078312E">
            <w:pPr>
              <w:pStyle w:val="ESSPBodyText"/>
              <w:spacing w:after="0"/>
            </w:pPr>
            <w:r>
              <w:t>4.24E-01</w:t>
            </w:r>
          </w:p>
        </w:tc>
        <w:tc>
          <w:tcPr>
            <w:tcW w:w="4477" w:type="dxa"/>
          </w:tcPr>
          <w:p w14:paraId="0D38413F" w14:textId="77777777" w:rsidR="00DB15E9" w:rsidRDefault="0078312E">
            <w:pPr>
              <w:pStyle w:val="ESSPBodyText"/>
              <w:spacing w:after="0"/>
            </w:pPr>
            <w:r>
              <w:t>2.16E-06</w:t>
            </w:r>
          </w:p>
        </w:tc>
      </w:tr>
      <w:tr w:rsidR="00DB15E9" w14:paraId="73AD0010" w14:textId="77777777" w:rsidTr="00DB15E9">
        <w:tc>
          <w:tcPr>
            <w:tcW w:w="2394" w:type="dxa"/>
          </w:tcPr>
          <w:p w14:paraId="230D8550" w14:textId="77777777" w:rsidR="00DB15E9" w:rsidRDefault="0078312E">
            <w:pPr>
              <w:pStyle w:val="ESSPBodyText"/>
              <w:spacing w:after="0"/>
            </w:pPr>
            <w:r>
              <w:t>1.00E+00</w:t>
            </w:r>
          </w:p>
        </w:tc>
        <w:tc>
          <w:tcPr>
            <w:tcW w:w="2394" w:type="dxa"/>
          </w:tcPr>
          <w:p w14:paraId="58C01BB0" w14:textId="77777777" w:rsidR="00DB15E9" w:rsidRDefault="0078312E">
            <w:pPr>
              <w:pStyle w:val="ESSPBodyText"/>
              <w:spacing w:after="0"/>
            </w:pPr>
            <w:r>
              <w:t>9.14E-01</w:t>
            </w:r>
          </w:p>
        </w:tc>
        <w:tc>
          <w:tcPr>
            <w:tcW w:w="4477" w:type="dxa"/>
          </w:tcPr>
          <w:p w14:paraId="5CF30FAB" w14:textId="77777777" w:rsidR="00DB15E9" w:rsidRDefault="0078312E">
            <w:pPr>
              <w:pStyle w:val="ESSPBodyText"/>
              <w:spacing w:after="0"/>
            </w:pPr>
            <w:r>
              <w:t>1.02E-07</w:t>
            </w:r>
          </w:p>
        </w:tc>
      </w:tr>
      <w:tr w:rsidR="00DB15E9" w14:paraId="5615AE84" w14:textId="77777777" w:rsidTr="00DB15E9">
        <w:tc>
          <w:tcPr>
            <w:tcW w:w="2394" w:type="dxa"/>
          </w:tcPr>
          <w:p w14:paraId="4EE86A0F" w14:textId="77777777" w:rsidR="00DB15E9" w:rsidRDefault="0078312E">
            <w:pPr>
              <w:pStyle w:val="ESSPBodyText"/>
              <w:spacing w:after="0"/>
            </w:pPr>
            <w:r>
              <w:t>1.00E+01</w:t>
            </w:r>
          </w:p>
        </w:tc>
        <w:tc>
          <w:tcPr>
            <w:tcW w:w="2394" w:type="dxa"/>
          </w:tcPr>
          <w:p w14:paraId="4539B237" w14:textId="77777777" w:rsidR="00DB15E9" w:rsidRDefault="0078312E">
            <w:pPr>
              <w:pStyle w:val="ESSPBodyText"/>
              <w:spacing w:after="0"/>
            </w:pPr>
            <w:r>
              <w:t>1.97E+00</w:t>
            </w:r>
          </w:p>
        </w:tc>
        <w:tc>
          <w:tcPr>
            <w:tcW w:w="4477" w:type="dxa"/>
          </w:tcPr>
          <w:p w14:paraId="5176CFFB" w14:textId="77777777" w:rsidR="00DB15E9" w:rsidRDefault="0078312E">
            <w:pPr>
              <w:pStyle w:val="ESSPBodyText"/>
              <w:spacing w:after="0"/>
            </w:pPr>
            <w:r>
              <w:t>4.72E-09</w:t>
            </w:r>
          </w:p>
        </w:tc>
      </w:tr>
      <w:tr w:rsidR="00DB15E9" w14:paraId="00DF01BD" w14:textId="77777777" w:rsidTr="00DB15E9">
        <w:tc>
          <w:tcPr>
            <w:tcW w:w="2394" w:type="dxa"/>
          </w:tcPr>
          <w:p w14:paraId="18D4F218" w14:textId="77777777" w:rsidR="00DB15E9" w:rsidRDefault="0078312E">
            <w:pPr>
              <w:pStyle w:val="ESSPBodyText"/>
              <w:spacing w:after="0"/>
            </w:pPr>
            <w:r>
              <w:t>1.00E+02</w:t>
            </w:r>
          </w:p>
        </w:tc>
        <w:tc>
          <w:tcPr>
            <w:tcW w:w="2394" w:type="dxa"/>
          </w:tcPr>
          <w:p w14:paraId="3C584B06" w14:textId="77777777" w:rsidR="00DB15E9" w:rsidRDefault="0078312E">
            <w:pPr>
              <w:pStyle w:val="ESSPBodyText"/>
              <w:spacing w:after="0"/>
            </w:pPr>
            <w:r>
              <w:t>4.24E+00</w:t>
            </w:r>
          </w:p>
        </w:tc>
        <w:tc>
          <w:tcPr>
            <w:tcW w:w="4477" w:type="dxa"/>
          </w:tcPr>
          <w:p w14:paraId="224309E3" w14:textId="77777777" w:rsidR="00DB15E9" w:rsidRDefault="0078312E">
            <w:pPr>
              <w:pStyle w:val="ESSPBodyText"/>
              <w:spacing w:after="0"/>
            </w:pPr>
            <w:r>
              <w:t>2.17E-10</w:t>
            </w:r>
          </w:p>
        </w:tc>
      </w:tr>
    </w:tbl>
    <w:p w14:paraId="065272F3" w14:textId="77777777" w:rsidR="00DB15E9" w:rsidRDefault="0078312E">
      <w:pPr>
        <w:pStyle w:val="ESSPBodyText"/>
      </w:pPr>
      <w:r>
        <w:rPr>
          <w:noProof/>
        </w:rPr>
        <w:drawing>
          <wp:inline distT="0" distB="0" distL="0" distR="0" wp14:anchorId="5E6E16CF" wp14:editId="406DE488">
            <wp:extent cx="5943600" cy="4314439"/>
            <wp:effectExtent l="0" t="0" r="0"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14439"/>
                    </a:xfrm>
                    <a:prstGeom prst="rect">
                      <a:avLst/>
                    </a:prstGeom>
                    <a:noFill/>
                    <a:ln>
                      <a:noFill/>
                    </a:ln>
                  </pic:spPr>
                </pic:pic>
              </a:graphicData>
            </a:graphic>
          </wp:inline>
        </w:drawing>
      </w:r>
    </w:p>
    <w:p w14:paraId="24108C1A" w14:textId="77777777" w:rsidR="00DB15E9" w:rsidRDefault="0078312E">
      <w:pPr>
        <w:pStyle w:val="ESSPFigureCaption"/>
        <w:rPr>
          <w:rFonts w:ascii="Helvetica" w:hAnsi="Helvetica"/>
        </w:rPr>
      </w:pPr>
      <w:bookmarkStart w:id="200" w:name="_Toc471971589"/>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8</w:t>
      </w:r>
      <w:r>
        <w:rPr>
          <w:rFonts w:ascii="Helvetica" w:hAnsi="Helvetica"/>
        </w:rPr>
        <w:fldChar w:fldCharType="end"/>
      </w:r>
      <w:r>
        <w:rPr>
          <w:rFonts w:ascii="Helvetica" w:hAnsi="Helvetica"/>
        </w:rPr>
        <w:t>: Worst-case Micrometeoroid Environment</w:t>
      </w:r>
      <w:bookmarkEnd w:id="200"/>
    </w:p>
    <w:p w14:paraId="29DB8CC8" w14:textId="77777777" w:rsidR="00DB15E9" w:rsidRDefault="0078312E">
      <w:pPr>
        <w:pStyle w:val="Heading4"/>
      </w:pPr>
      <w:bookmarkStart w:id="201" w:name="_Toc471910817"/>
      <w:r>
        <w:t>Artificial Space Debris</w:t>
      </w:r>
      <w:bookmarkEnd w:id="201"/>
    </w:p>
    <w:p w14:paraId="66B4AC35" w14:textId="77777777" w:rsidR="00DB15E9" w:rsidRDefault="0078312E">
      <w:pPr>
        <w:pStyle w:val="Requirement"/>
      </w:pPr>
      <w:bookmarkStart w:id="202" w:name="OLE_LINK45"/>
      <w:bookmarkStart w:id="203" w:name="OLE_LINK46"/>
      <w:r>
        <w:t>The Instrument Developer should perform a probability analysis to determine the type and amount of shielding to mitigate the fluence of artificial space debris in the expected mission orbit over the primary mission.</w:t>
      </w:r>
    </w:p>
    <w:p w14:paraId="3C3F63C1" w14:textId="77777777" w:rsidR="00DB15E9" w:rsidRDefault="0078312E">
      <w:pPr>
        <w:pStyle w:val="ESSPBodyText"/>
      </w:pPr>
      <w:r>
        <w:rPr>
          <w:rStyle w:val="ESSPBodyTextChar"/>
        </w:rPr>
        <w:fldChar w:fldCharType="begin"/>
      </w:r>
      <w:r>
        <w:rPr>
          <w:rStyle w:val="ESSPBodyTextChar"/>
        </w:rPr>
        <w:instrText xml:space="preserve"> REF _Ref211503728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Table 2</w:t>
      </w:r>
      <w:r>
        <w:rPr>
          <w:rStyle w:val="ESSPBodyTextChar"/>
        </w:rPr>
        <w:noBreakHyphen/>
        <w:t>12</w:t>
      </w:r>
      <w:r>
        <w:rPr>
          <w:rStyle w:val="ESSPBodyTextChar"/>
        </w:rPr>
        <w:fldChar w:fldCharType="end"/>
      </w:r>
      <w:r>
        <w:t xml:space="preserve">, and </w:t>
      </w:r>
      <w:r>
        <w:rPr>
          <w:rStyle w:val="ESSPBodyTextChar"/>
        </w:rPr>
        <w:t>Figure 2-9</w:t>
      </w:r>
      <w:r>
        <w:t>, provide conservative artificial space debris flux environments for LEO.</w:t>
      </w:r>
    </w:p>
    <w:p w14:paraId="66E2B3E2" w14:textId="77777777" w:rsidR="00DB15E9" w:rsidRDefault="0078312E">
      <w:pPr>
        <w:tabs>
          <w:tab w:val="clear" w:pos="1440"/>
          <w:tab w:val="clear" w:pos="4140"/>
          <w:tab w:val="clear" w:pos="7920"/>
        </w:tabs>
        <w:spacing w:after="0"/>
        <w:rPr>
          <w:rFonts w:ascii="Helvetica" w:hAnsi="Helvetica"/>
          <w:b/>
          <w:bCs/>
          <w:sz w:val="22"/>
          <w:szCs w:val="20"/>
        </w:rPr>
      </w:pPr>
      <w:bookmarkStart w:id="204" w:name="_Ref211503728"/>
      <w:bookmarkStart w:id="205" w:name="_Toc453056573"/>
      <w:bookmarkEnd w:id="202"/>
      <w:bookmarkEnd w:id="203"/>
      <w:r>
        <w:br w:type="page"/>
      </w:r>
    </w:p>
    <w:p w14:paraId="221BDDF7" w14:textId="77777777" w:rsidR="00DB15E9" w:rsidRDefault="0078312E">
      <w:pPr>
        <w:pStyle w:val="ESSPTableCaption"/>
      </w:pPr>
      <w:bookmarkStart w:id="206" w:name="_Toc471971560"/>
      <w:r>
        <w:lastRenderedPageBreak/>
        <w:t xml:space="preserve">Table </w:t>
      </w:r>
      <w:r w:rsidR="00BA5284">
        <w:fldChar w:fldCharType="begin"/>
      </w:r>
      <w:r w:rsidR="00BA5284">
        <w:instrText xml:space="preserve"> STYLEREF 1 \s </w:instrText>
      </w:r>
      <w:r w:rsidR="00BA5284">
        <w:fldChar w:fldCharType="separate"/>
      </w:r>
      <w:r>
        <w:rPr>
          <w:noProof/>
        </w:rPr>
        <w:t>2</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12</w:t>
      </w:r>
      <w:r w:rsidR="00BA5284">
        <w:rPr>
          <w:noProof/>
        </w:rPr>
        <w:fldChar w:fldCharType="end"/>
      </w:r>
      <w:bookmarkEnd w:id="204"/>
      <w:r>
        <w:t>: [LEO] Worst-case Artificial Space Debris Environment</w:t>
      </w:r>
      <w:bookmarkEnd w:id="205"/>
      <w:bookmarkEnd w:id="206"/>
    </w:p>
    <w:tbl>
      <w:tblPr>
        <w:tblStyle w:val="TableGrid8"/>
        <w:tblW w:w="0" w:type="auto"/>
        <w:jc w:val="center"/>
        <w:tblLook w:val="04A0" w:firstRow="1" w:lastRow="0" w:firstColumn="1" w:lastColumn="0" w:noHBand="0" w:noVBand="1"/>
      </w:tblPr>
      <w:tblGrid>
        <w:gridCol w:w="1702"/>
        <w:gridCol w:w="2252"/>
        <w:gridCol w:w="2232"/>
      </w:tblGrid>
      <w:tr w:rsidR="00DB15E9" w14:paraId="498A7337" w14:textId="77777777" w:rsidTr="00DB15E9">
        <w:trPr>
          <w:cnfStyle w:val="100000000000" w:firstRow="1" w:lastRow="0" w:firstColumn="0" w:lastColumn="0" w:oddVBand="0" w:evenVBand="0" w:oddHBand="0" w:evenHBand="0" w:firstRowFirstColumn="0" w:firstRowLastColumn="0" w:lastRowFirstColumn="0" w:lastRowLastColumn="0"/>
          <w:cantSplit/>
          <w:jc w:val="center"/>
        </w:trPr>
        <w:tc>
          <w:tcPr>
            <w:tcW w:w="1702" w:type="dxa"/>
          </w:tcPr>
          <w:p w14:paraId="221EFFAF" w14:textId="77777777" w:rsidR="00DB15E9" w:rsidRDefault="0078312E">
            <w:pPr>
              <w:pStyle w:val="ESSPBodyText"/>
              <w:spacing w:after="0"/>
            </w:pPr>
            <w:r>
              <w:t xml:space="preserve">Object Size [m] </w:t>
            </w:r>
          </w:p>
        </w:tc>
        <w:tc>
          <w:tcPr>
            <w:tcW w:w="2252" w:type="dxa"/>
          </w:tcPr>
          <w:p w14:paraId="1A43A3D5" w14:textId="77777777" w:rsidR="00DB15E9" w:rsidRDefault="0078312E">
            <w:pPr>
              <w:pStyle w:val="ESSPBodyText"/>
              <w:spacing w:after="0"/>
            </w:pPr>
            <w:r>
              <w:t>Flux [objects/m</w:t>
            </w:r>
            <w:r>
              <w:rPr>
                <w:vertAlign w:val="superscript"/>
              </w:rPr>
              <w:t>2</w:t>
            </w:r>
            <w:r>
              <w:t>/year]</w:t>
            </w:r>
          </w:p>
        </w:tc>
        <w:tc>
          <w:tcPr>
            <w:tcW w:w="2232" w:type="dxa"/>
          </w:tcPr>
          <w:p w14:paraId="2FF0F241" w14:textId="77777777" w:rsidR="00DB15E9" w:rsidRDefault="0078312E">
            <w:pPr>
              <w:pStyle w:val="ESSPBodyText"/>
              <w:spacing w:after="0"/>
            </w:pPr>
            <w:r>
              <w:t>Object Velocity [km/s]</w:t>
            </w:r>
          </w:p>
        </w:tc>
      </w:tr>
      <w:tr w:rsidR="00DB15E9" w14:paraId="419DD24B" w14:textId="77777777" w:rsidTr="00DB15E9">
        <w:trPr>
          <w:cantSplit/>
          <w:jc w:val="center"/>
        </w:trPr>
        <w:tc>
          <w:tcPr>
            <w:tcW w:w="1702" w:type="dxa"/>
          </w:tcPr>
          <w:p w14:paraId="5F72E962" w14:textId="77777777" w:rsidR="00DB15E9" w:rsidRDefault="0078312E">
            <w:pPr>
              <w:pStyle w:val="ESSPBodyText"/>
              <w:spacing w:after="0"/>
            </w:pPr>
            <w:r>
              <w:t>1.00E-05</w:t>
            </w:r>
          </w:p>
        </w:tc>
        <w:tc>
          <w:tcPr>
            <w:tcW w:w="2252" w:type="dxa"/>
          </w:tcPr>
          <w:p w14:paraId="56703DBA" w14:textId="77777777" w:rsidR="00DB15E9" w:rsidRDefault="0078312E">
            <w:pPr>
              <w:pStyle w:val="ESSPBodyText"/>
              <w:spacing w:after="0"/>
            </w:pPr>
            <w:r>
              <w:t>4.14E+03</w:t>
            </w:r>
          </w:p>
        </w:tc>
        <w:tc>
          <w:tcPr>
            <w:tcW w:w="2232" w:type="dxa"/>
          </w:tcPr>
          <w:p w14:paraId="2AFCDC57" w14:textId="77777777" w:rsidR="00DB15E9" w:rsidRDefault="0078312E">
            <w:pPr>
              <w:pStyle w:val="ESSPBodyText"/>
              <w:spacing w:after="0"/>
            </w:pPr>
            <w:r>
              <w:t>12.02</w:t>
            </w:r>
          </w:p>
        </w:tc>
      </w:tr>
      <w:tr w:rsidR="00DB15E9" w14:paraId="03C180CB" w14:textId="77777777" w:rsidTr="00DB15E9">
        <w:trPr>
          <w:cantSplit/>
          <w:jc w:val="center"/>
        </w:trPr>
        <w:tc>
          <w:tcPr>
            <w:tcW w:w="1702" w:type="dxa"/>
          </w:tcPr>
          <w:p w14:paraId="5E99552C" w14:textId="77777777" w:rsidR="00DB15E9" w:rsidRDefault="0078312E">
            <w:pPr>
              <w:pStyle w:val="ESSPBodyText"/>
              <w:spacing w:after="0"/>
            </w:pPr>
            <w:r>
              <w:t>1.00E-04</w:t>
            </w:r>
          </w:p>
        </w:tc>
        <w:tc>
          <w:tcPr>
            <w:tcW w:w="2252" w:type="dxa"/>
          </w:tcPr>
          <w:p w14:paraId="3B654F3A" w14:textId="77777777" w:rsidR="00DB15E9" w:rsidRDefault="0078312E">
            <w:pPr>
              <w:pStyle w:val="ESSPBodyText"/>
              <w:spacing w:after="0"/>
            </w:pPr>
            <w:r>
              <w:t>4.10E+02</w:t>
            </w:r>
          </w:p>
        </w:tc>
        <w:tc>
          <w:tcPr>
            <w:tcW w:w="2232" w:type="dxa"/>
          </w:tcPr>
          <w:p w14:paraId="389D4088" w14:textId="77777777" w:rsidR="00DB15E9" w:rsidRDefault="0078312E">
            <w:pPr>
              <w:pStyle w:val="ESSPBodyText"/>
              <w:spacing w:after="0"/>
            </w:pPr>
            <w:r>
              <w:t>9.25</w:t>
            </w:r>
          </w:p>
        </w:tc>
      </w:tr>
      <w:tr w:rsidR="00DB15E9" w14:paraId="63BE876F" w14:textId="77777777" w:rsidTr="00DB15E9">
        <w:trPr>
          <w:cantSplit/>
          <w:jc w:val="center"/>
        </w:trPr>
        <w:tc>
          <w:tcPr>
            <w:tcW w:w="1702" w:type="dxa"/>
          </w:tcPr>
          <w:p w14:paraId="3176A7FD" w14:textId="77777777" w:rsidR="00DB15E9" w:rsidRDefault="0078312E">
            <w:pPr>
              <w:pStyle w:val="ESSPBodyText"/>
              <w:spacing w:after="0"/>
            </w:pPr>
            <w:r>
              <w:t>1.00E-03</w:t>
            </w:r>
          </w:p>
        </w:tc>
        <w:tc>
          <w:tcPr>
            <w:tcW w:w="2252" w:type="dxa"/>
          </w:tcPr>
          <w:p w14:paraId="30177040" w14:textId="77777777" w:rsidR="00DB15E9" w:rsidRDefault="0078312E">
            <w:pPr>
              <w:pStyle w:val="ESSPBodyText"/>
              <w:spacing w:after="0"/>
            </w:pPr>
            <w:r>
              <w:t>3.43E-01</w:t>
            </w:r>
          </w:p>
        </w:tc>
        <w:tc>
          <w:tcPr>
            <w:tcW w:w="2232" w:type="dxa"/>
          </w:tcPr>
          <w:p w14:paraId="0E3A0AD7" w14:textId="77777777" w:rsidR="00DB15E9" w:rsidRDefault="0078312E">
            <w:pPr>
              <w:pStyle w:val="ESSPBodyText"/>
              <w:spacing w:after="0"/>
            </w:pPr>
            <w:r>
              <w:t>10.63</w:t>
            </w:r>
          </w:p>
        </w:tc>
      </w:tr>
      <w:tr w:rsidR="00DB15E9" w14:paraId="0F77DC17" w14:textId="77777777" w:rsidTr="00DB15E9">
        <w:trPr>
          <w:cantSplit/>
          <w:jc w:val="center"/>
        </w:trPr>
        <w:tc>
          <w:tcPr>
            <w:tcW w:w="1702" w:type="dxa"/>
          </w:tcPr>
          <w:p w14:paraId="1F5EA968" w14:textId="77777777" w:rsidR="00DB15E9" w:rsidRDefault="0078312E">
            <w:pPr>
              <w:pStyle w:val="ESSPBodyText"/>
              <w:spacing w:after="0"/>
            </w:pPr>
            <w:r>
              <w:t>1.00E-02</w:t>
            </w:r>
          </w:p>
        </w:tc>
        <w:tc>
          <w:tcPr>
            <w:tcW w:w="2252" w:type="dxa"/>
          </w:tcPr>
          <w:p w14:paraId="0D95CCD5" w14:textId="77777777" w:rsidR="00DB15E9" w:rsidRDefault="0078312E">
            <w:pPr>
              <w:pStyle w:val="ESSPBodyText"/>
              <w:spacing w:after="0"/>
            </w:pPr>
            <w:r>
              <w:t>1.50E-04</w:t>
            </w:r>
          </w:p>
        </w:tc>
        <w:tc>
          <w:tcPr>
            <w:tcW w:w="2232" w:type="dxa"/>
          </w:tcPr>
          <w:p w14:paraId="46DFB6E2" w14:textId="77777777" w:rsidR="00DB15E9" w:rsidRDefault="0078312E">
            <w:pPr>
              <w:pStyle w:val="ESSPBodyText"/>
              <w:spacing w:after="0"/>
            </w:pPr>
            <w:r>
              <w:t>10.53</w:t>
            </w:r>
          </w:p>
        </w:tc>
      </w:tr>
      <w:tr w:rsidR="00DB15E9" w14:paraId="6662EBB5" w14:textId="77777777" w:rsidTr="00DB15E9">
        <w:trPr>
          <w:cantSplit/>
          <w:jc w:val="center"/>
        </w:trPr>
        <w:tc>
          <w:tcPr>
            <w:tcW w:w="1702" w:type="dxa"/>
          </w:tcPr>
          <w:p w14:paraId="0443059F" w14:textId="77777777" w:rsidR="00DB15E9" w:rsidRDefault="0078312E">
            <w:pPr>
              <w:pStyle w:val="ESSPBodyText"/>
              <w:spacing w:after="0"/>
            </w:pPr>
            <w:r>
              <w:t>1.00E-01</w:t>
            </w:r>
          </w:p>
        </w:tc>
        <w:tc>
          <w:tcPr>
            <w:tcW w:w="2252" w:type="dxa"/>
          </w:tcPr>
          <w:p w14:paraId="1A3B5F22" w14:textId="77777777" w:rsidR="00DB15E9" w:rsidRDefault="0078312E">
            <w:pPr>
              <w:pStyle w:val="ESSPBodyText"/>
              <w:spacing w:after="0"/>
            </w:pPr>
            <w:r>
              <w:t>6.64E-06</w:t>
            </w:r>
          </w:p>
        </w:tc>
        <w:tc>
          <w:tcPr>
            <w:tcW w:w="2232" w:type="dxa"/>
          </w:tcPr>
          <w:p w14:paraId="72BD61EE" w14:textId="77777777" w:rsidR="00DB15E9" w:rsidRDefault="0078312E">
            <w:pPr>
              <w:pStyle w:val="ESSPBodyText"/>
              <w:spacing w:after="0"/>
            </w:pPr>
            <w:r>
              <w:t>9.10</w:t>
            </w:r>
          </w:p>
        </w:tc>
      </w:tr>
      <w:tr w:rsidR="00DB15E9" w14:paraId="25C2949E" w14:textId="77777777" w:rsidTr="00DB15E9">
        <w:trPr>
          <w:cantSplit/>
          <w:jc w:val="center"/>
        </w:trPr>
        <w:tc>
          <w:tcPr>
            <w:tcW w:w="1702" w:type="dxa"/>
          </w:tcPr>
          <w:p w14:paraId="7BF96F85" w14:textId="77777777" w:rsidR="00DB15E9" w:rsidRDefault="0078312E">
            <w:pPr>
              <w:pStyle w:val="ESSPBodyText"/>
              <w:spacing w:after="0"/>
            </w:pPr>
            <w:r>
              <w:t>1.00E+00</w:t>
            </w:r>
          </w:p>
        </w:tc>
        <w:tc>
          <w:tcPr>
            <w:tcW w:w="2252" w:type="dxa"/>
          </w:tcPr>
          <w:p w14:paraId="2B382952" w14:textId="77777777" w:rsidR="00DB15E9" w:rsidRDefault="0078312E">
            <w:pPr>
              <w:pStyle w:val="ESSPBodyText"/>
              <w:spacing w:after="0"/>
            </w:pPr>
            <w:r>
              <w:t>2.80E-06</w:t>
            </w:r>
          </w:p>
        </w:tc>
        <w:tc>
          <w:tcPr>
            <w:tcW w:w="2232" w:type="dxa"/>
          </w:tcPr>
          <w:p w14:paraId="2495E6C3" w14:textId="77777777" w:rsidR="00DB15E9" w:rsidRDefault="0078312E">
            <w:pPr>
              <w:pStyle w:val="ESSPBodyText"/>
              <w:spacing w:after="0"/>
            </w:pPr>
            <w:r>
              <w:t>9.34</w:t>
            </w:r>
          </w:p>
        </w:tc>
      </w:tr>
      <w:tr w:rsidR="00DB15E9" w14:paraId="54780C58" w14:textId="77777777" w:rsidTr="00DB15E9">
        <w:trPr>
          <w:cantSplit/>
          <w:jc w:val="center"/>
        </w:trPr>
        <w:tc>
          <w:tcPr>
            <w:tcW w:w="1702" w:type="dxa"/>
            <w:shd w:val="clear" w:color="auto" w:fill="000000" w:themeFill="text1"/>
          </w:tcPr>
          <w:p w14:paraId="34CC39B5" w14:textId="77777777" w:rsidR="00DB15E9" w:rsidRDefault="00DB15E9">
            <w:pPr>
              <w:pStyle w:val="ESSPBodyText"/>
              <w:spacing w:after="0"/>
            </w:pPr>
          </w:p>
        </w:tc>
        <w:tc>
          <w:tcPr>
            <w:tcW w:w="2252" w:type="dxa"/>
            <w:shd w:val="clear" w:color="auto" w:fill="000000" w:themeFill="text1"/>
          </w:tcPr>
          <w:p w14:paraId="19CE9319" w14:textId="77777777" w:rsidR="00DB15E9" w:rsidRDefault="0078312E">
            <w:pPr>
              <w:pStyle w:val="ESSPBodyText"/>
              <w:spacing w:after="0"/>
            </w:pPr>
            <w:r>
              <w:t>Average Velocity:</w:t>
            </w:r>
          </w:p>
        </w:tc>
        <w:tc>
          <w:tcPr>
            <w:tcW w:w="2232" w:type="dxa"/>
          </w:tcPr>
          <w:p w14:paraId="24EDDE5B" w14:textId="77777777" w:rsidR="00DB15E9" w:rsidRDefault="0078312E">
            <w:pPr>
              <w:pStyle w:val="ESSPBodyText"/>
              <w:spacing w:after="0"/>
            </w:pPr>
            <w:r>
              <w:t>10.15</w:t>
            </w:r>
          </w:p>
        </w:tc>
      </w:tr>
    </w:tbl>
    <w:p w14:paraId="1C7E6A28" w14:textId="77777777" w:rsidR="00DB15E9" w:rsidRDefault="00DB15E9">
      <w:pPr>
        <w:pStyle w:val="ESSPBodyText"/>
      </w:pPr>
    </w:p>
    <w:p w14:paraId="38BB405F" w14:textId="77777777" w:rsidR="00DB15E9" w:rsidRDefault="0078312E">
      <w:pPr>
        <w:pStyle w:val="ESSPBodyText"/>
      </w:pPr>
      <w:r>
        <w:rPr>
          <w:noProof/>
        </w:rPr>
        <w:drawing>
          <wp:inline distT="0" distB="0" distL="0" distR="0" wp14:anchorId="52E50D5F" wp14:editId="383ED8CB">
            <wp:extent cx="5818909" cy="3860973"/>
            <wp:effectExtent l="0" t="0" r="0" b="635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5554" cy="3865382"/>
                    </a:xfrm>
                    <a:prstGeom prst="rect">
                      <a:avLst/>
                    </a:prstGeom>
                    <a:noFill/>
                    <a:ln>
                      <a:noFill/>
                    </a:ln>
                  </pic:spPr>
                </pic:pic>
              </a:graphicData>
            </a:graphic>
          </wp:inline>
        </w:drawing>
      </w:r>
    </w:p>
    <w:p w14:paraId="02A14D10" w14:textId="77777777" w:rsidR="00DB15E9" w:rsidRDefault="0078312E">
      <w:pPr>
        <w:pStyle w:val="ESSPFigureCaption"/>
        <w:rPr>
          <w:rFonts w:ascii="Helvetica" w:hAnsi="Helvetica"/>
        </w:rPr>
      </w:pPr>
      <w:bookmarkStart w:id="207" w:name="_Toc471971590"/>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9</w:t>
      </w:r>
      <w:r>
        <w:rPr>
          <w:rFonts w:ascii="Helvetica" w:hAnsi="Helvetica"/>
        </w:rPr>
        <w:fldChar w:fldCharType="end"/>
      </w:r>
      <w:r>
        <w:rPr>
          <w:rFonts w:ascii="Helvetica" w:hAnsi="Helvetica"/>
        </w:rPr>
        <w:t>: [LEO]: Worst-case Artificial Space Debris Environment</w:t>
      </w:r>
      <w:bookmarkEnd w:id="207"/>
    </w:p>
    <w:p w14:paraId="01161C68" w14:textId="77777777" w:rsidR="00DB15E9" w:rsidRDefault="0078312E">
      <w:pPr>
        <w:pStyle w:val="ESSPBodyText"/>
      </w:pPr>
      <w:r>
        <w:t>Rationale:</w:t>
      </w:r>
      <w:r>
        <w:rPr>
          <w:bCs/>
        </w:rPr>
        <w:t xml:space="preserve"> </w:t>
      </w:r>
      <w:r>
        <w:t>Impacts from artificial space debris may permanently degrade performance or damage the Instrument.</w:t>
      </w:r>
      <w:r>
        <w:rPr>
          <w:bCs/>
        </w:rPr>
        <w:t xml:space="preserve"> </w:t>
      </w:r>
      <w:r>
        <w:t>This guidance estimates the maximum artificial space debris flux and impact velocities an Instrument can expect to experience for LEO domains during the Calendar Year 2015 epoch.</w:t>
      </w:r>
      <w:r>
        <w:rPr>
          <w:bCs/>
        </w:rPr>
        <w:t xml:space="preserve"> </w:t>
      </w:r>
      <w:r>
        <w:t>Expected artificial space debris flux increases over time as more hardware is launched into orbit.</w:t>
      </w:r>
    </w:p>
    <w:p w14:paraId="484C8119" w14:textId="77777777" w:rsidR="00DB15E9" w:rsidRDefault="0078312E">
      <w:pPr>
        <w:pStyle w:val="ESSPBodyText"/>
      </w:pPr>
      <w:r>
        <w:lastRenderedPageBreak/>
        <w:t>The LEO analysis covers altitudes from 200 to 2000 km and orbital inclinations between 0 and 180 degrees.</w:t>
      </w:r>
      <w:r>
        <w:rPr>
          <w:bCs/>
        </w:rPr>
        <w:t xml:space="preserve"> </w:t>
      </w:r>
      <w:r>
        <w:t>The ORDEM2000 model, developed by the NASA Orbital Debris Program Office at Johnson Space Center, is the source of the data.</w:t>
      </w:r>
    </w:p>
    <w:p w14:paraId="3A017936" w14:textId="77777777" w:rsidR="00DB15E9" w:rsidRDefault="0078312E">
      <w:pPr>
        <w:pStyle w:val="ESSPBodyText"/>
      </w:pPr>
      <w:r>
        <w:t>Micrometeoroid and artificial space debris flux guidelines are listed separately due to the stability of micrometeoroid flux over time, compared to the increase of artificial space debris. The premier and overriding guidance is that the Instrument will “do no harm” to the Host Spacecraft or other payloads.</w:t>
      </w:r>
      <w:r>
        <w:rPr>
          <w:bCs/>
        </w:rPr>
        <w:t xml:space="preserve"> </w:t>
      </w:r>
      <w:r>
        <w:t>This implies that the Instrument will not generate orbital debris.</w:t>
      </w:r>
    </w:p>
    <w:p w14:paraId="6593F13E" w14:textId="77777777" w:rsidR="00DB15E9" w:rsidRDefault="0078312E">
      <w:pPr>
        <w:pStyle w:val="Heading4"/>
      </w:pPr>
      <w:bookmarkStart w:id="208" w:name="_Toc471910818"/>
      <w:r>
        <w:t>Atomic Oxygen Environment</w:t>
      </w:r>
      <w:bookmarkEnd w:id="208"/>
    </w:p>
    <w:p w14:paraId="779AD58D" w14:textId="77777777" w:rsidR="00DB15E9" w:rsidRDefault="0078312E">
      <w:pPr>
        <w:pStyle w:val="Requirement"/>
      </w:pPr>
      <w:r>
        <w:t>The Instrument should function according to its specifications following exposure to the atomic oxygen environment, based on its expected mission orbit, for the duration of the Instrument primary mission.</w:t>
      </w:r>
    </w:p>
    <w:p w14:paraId="09FF6FFF" w14:textId="77777777" w:rsidR="00DB15E9" w:rsidRDefault="0078312E">
      <w:pPr>
        <w:pStyle w:val="ESSPBodyText"/>
      </w:pPr>
      <w:r>
        <w:t>Rationale: Exposure to atomic oxygen degrades many materials and requires mitigation to ensure full Instrument function over the design mission lifetime.</w:t>
      </w:r>
      <w:r>
        <w:rPr>
          <w:bCs/>
        </w:rPr>
        <w:t xml:space="preserve"> </w:t>
      </w:r>
      <w:r>
        <w:t xml:space="preserve">Atomic oxygen levels in LEO are significant and may be estimated using the </w:t>
      </w:r>
      <w:r>
        <w:rPr>
          <w:rStyle w:val="ESSPBodyTextChar"/>
        </w:rPr>
        <w:t>Figure 2-10</w:t>
      </w:r>
      <w:r>
        <w:t>, which estimates the atomic oxygen flux, assuming an orbital velocity of 8 km/sec, for a range of LEO altitudes over the solar cycle inclusive of the standard atmosphere.</w:t>
      </w:r>
      <w:r>
        <w:rPr>
          <w:bCs/>
        </w:rPr>
        <w:t xml:space="preserve"> </w:t>
      </w:r>
      <w:r>
        <w:t xml:space="preserve">Instrument Developers should conservatively estimate the atomic oxygen environment for their Instrument’s specified orbit, orbital lifetime and launch date relative to the solar cycle. One source for predictory models is the Community Coordinated Modeling Center (CCMC) at http://ccmc.gsfc.nasa.gov/index.php </w:t>
      </w:r>
    </w:p>
    <w:p w14:paraId="27784129" w14:textId="77777777" w:rsidR="00DB15E9" w:rsidRDefault="0078312E">
      <w:pPr>
        <w:pStyle w:val="ESSPBodyText"/>
      </w:pPr>
      <w:r>
        <w:rPr>
          <w:noProof/>
        </w:rPr>
        <w:drawing>
          <wp:inline distT="0" distB="0" distL="0" distR="0" wp14:anchorId="5E0FB112" wp14:editId="1B08EAC4">
            <wp:extent cx="5942003" cy="3538220"/>
            <wp:effectExtent l="0" t="0" r="1905"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14" b="821"/>
                    <a:stretch/>
                  </pic:blipFill>
                  <pic:spPr bwMode="auto">
                    <a:xfrm>
                      <a:off x="0" y="0"/>
                      <a:ext cx="5943600" cy="3539171"/>
                    </a:xfrm>
                    <a:prstGeom prst="rect">
                      <a:avLst/>
                    </a:prstGeom>
                    <a:noFill/>
                    <a:ln>
                      <a:noFill/>
                    </a:ln>
                    <a:extLst>
                      <a:ext uri="{53640926-AAD7-44D8-BBD7-CCE9431645EC}">
                        <a14:shadowObscured xmlns:a14="http://schemas.microsoft.com/office/drawing/2010/main"/>
                      </a:ext>
                    </a:extLst>
                  </pic:spPr>
                </pic:pic>
              </a:graphicData>
            </a:graphic>
          </wp:inline>
        </w:drawing>
      </w:r>
    </w:p>
    <w:p w14:paraId="4B688C39" w14:textId="77777777" w:rsidR="00DB15E9" w:rsidRDefault="0078312E">
      <w:pPr>
        <w:pStyle w:val="ESSPFigureCaption"/>
        <w:rPr>
          <w:rFonts w:ascii="Times New Roman" w:hAnsi="Times New Roman"/>
          <w:noProof/>
        </w:rPr>
      </w:pPr>
      <w:bookmarkStart w:id="209" w:name="_Toc471971591"/>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10</w:t>
      </w:r>
      <w:r>
        <w:rPr>
          <w:rFonts w:ascii="Helvetica" w:hAnsi="Helvetica"/>
        </w:rPr>
        <w:fldChar w:fldCharType="end"/>
      </w:r>
      <w:r>
        <w:rPr>
          <w:rFonts w:ascii="Helvetica" w:hAnsi="Helvetica"/>
        </w:rPr>
        <w:t>:</w:t>
      </w:r>
      <w:r>
        <w:t xml:space="preserve"> Atmospheric Atomic Oxygen density in Low Earth Orbit (Figure 2 from de Rooij 2000)</w:t>
      </w:r>
      <w:bookmarkEnd w:id="209"/>
    </w:p>
    <w:p w14:paraId="04D847BE" w14:textId="77777777" w:rsidR="00DB15E9" w:rsidRDefault="0078312E">
      <w:pPr>
        <w:pStyle w:val="Heading3"/>
      </w:pPr>
      <w:bookmarkStart w:id="210" w:name="_Toc296083664"/>
      <w:bookmarkStart w:id="211" w:name="_Toc298054701"/>
      <w:bookmarkStart w:id="212" w:name="_Toc326129281"/>
      <w:bookmarkStart w:id="213" w:name="_Toc471910819"/>
      <w:r>
        <w:lastRenderedPageBreak/>
        <w:t>Electromagnetic Interference &amp; Compatibility Environment</w:t>
      </w:r>
      <w:bookmarkEnd w:id="210"/>
      <w:bookmarkEnd w:id="211"/>
      <w:bookmarkEnd w:id="212"/>
      <w:bookmarkEnd w:id="213"/>
    </w:p>
    <w:p w14:paraId="7845001D" w14:textId="77777777" w:rsidR="00DB15E9" w:rsidRDefault="0078312E">
      <w:pPr>
        <w:pStyle w:val="Requirement"/>
      </w:pPr>
      <w:r>
        <w:t>The Instrument should function according to its specification following exposure to the Electromagnetic Interference and Electromagnetic Compatibility (EMI/EMC) environments as defined in the applicable sections of MIL-STD-461.</w:t>
      </w:r>
    </w:p>
    <w:p w14:paraId="0A224C4E" w14:textId="77777777" w:rsidR="00DB15E9" w:rsidRDefault="0078312E">
      <w:pPr>
        <w:pStyle w:val="ESSPBodyText"/>
      </w:pPr>
      <w:r>
        <w:t>Rationale:</w:t>
      </w:r>
      <w:r>
        <w:rPr>
          <w:bCs/>
        </w:rPr>
        <w:t xml:space="preserve"> </w:t>
      </w:r>
      <w:r>
        <w:t>Exposure of the hosted payload instrument to electromagnetic fields may induce degraded performance or damage in the instrument electrical and/or electronic subsystems. The application of the appropriate environments as described in the above noted reference and in accordance with those test procedures defined in, or superior to, MIL-STD-461 or MIL-STD-462, will result in an instrument that is designed and verified to assure full instrument function in the defined EMI/EMC environments.</w:t>
      </w:r>
    </w:p>
    <w:p w14:paraId="60D5F1E0" w14:textId="77777777" w:rsidR="00DB15E9" w:rsidRDefault="0078312E">
      <w:pPr>
        <w:pStyle w:val="ESSPBodyText"/>
      </w:pPr>
      <w:r>
        <w:t>Note: the environments defined in MIL-STD-461 may be tailored in accordance with the Host Spacecraft, launch vehicle and launch range requirements.</w:t>
      </w:r>
      <w:bookmarkStart w:id="214" w:name="_Toc413133692"/>
      <w:bookmarkStart w:id="215" w:name="_Toc413133694"/>
      <w:bookmarkEnd w:id="214"/>
      <w:bookmarkEnd w:id="215"/>
      <w:r>
        <w:br w:type="page"/>
      </w:r>
    </w:p>
    <w:p w14:paraId="0AACF84B" w14:textId="77777777" w:rsidR="00DB15E9" w:rsidRDefault="0078312E">
      <w:pPr>
        <w:pStyle w:val="Heading1"/>
      </w:pPr>
      <w:bookmarkStart w:id="216" w:name="_Toc471910820"/>
      <w:r>
        <w:lastRenderedPageBreak/>
        <w:t>Design Guidelines For geo</w:t>
      </w:r>
      <w:bookmarkEnd w:id="216"/>
    </w:p>
    <w:p w14:paraId="28BE0786" w14:textId="77777777" w:rsidR="00DB15E9" w:rsidRDefault="0078312E">
      <w:pPr>
        <w:pStyle w:val="Heading2"/>
      </w:pPr>
      <w:bookmarkStart w:id="217" w:name="_Toc471910821"/>
      <w:r>
        <w:t>Assumptions</w:t>
      </w:r>
      <w:bookmarkEnd w:id="217"/>
    </w:p>
    <w:p w14:paraId="1D3374F3" w14:textId="77777777" w:rsidR="00DB15E9" w:rsidRDefault="0078312E">
      <w:pPr>
        <w:pStyle w:val="ESSPBodyText"/>
      </w:pPr>
      <w:r>
        <w:t>The HPIG guidelines assume the following regarding the Host Spacecraft:</w:t>
      </w:r>
    </w:p>
    <w:p w14:paraId="5A1A5CE0" w14:textId="77777777" w:rsidR="00DB15E9" w:rsidRDefault="0078312E">
      <w:pPr>
        <w:pStyle w:val="ESSPNumberedList"/>
        <w:numPr>
          <w:ilvl w:val="0"/>
          <w:numId w:val="4"/>
        </w:numPr>
      </w:pPr>
      <w:r>
        <w:t>Hosted Payload: The Host Spacecraft will have a primary mission different from that of the Instrument.</w:t>
      </w:r>
    </w:p>
    <w:p w14:paraId="4069EBF8" w14:textId="77777777" w:rsidR="00DB15E9" w:rsidRDefault="0078312E">
      <w:pPr>
        <w:pStyle w:val="ESSPNumberedList"/>
      </w:pPr>
      <w:r>
        <w:t>Nominal Orbit: The Host Spacecraft will operate in GEO with an altitude of approximately 35786 kilometers and eccentricity and inclination of approximately zero.</w:t>
      </w:r>
    </w:p>
    <w:p w14:paraId="3A8E66D4" w14:textId="77777777" w:rsidR="00DB15E9" w:rsidRDefault="0078312E">
      <w:pPr>
        <w:pStyle w:val="ESSPNumberedList"/>
      </w:pPr>
      <w:r>
        <w:t>Responsibility for Integration: The Host Spacecraft Manufacturer will integrate the Instrument onto the Host Spacecraft with support from the Instrument Developer.</w:t>
      </w:r>
    </w:p>
    <w:p w14:paraId="040BB5C6" w14:textId="77777777" w:rsidR="00DB15E9" w:rsidRDefault="0078312E">
      <w:pPr>
        <w:pStyle w:val="Heading2"/>
      </w:pPr>
      <w:bookmarkStart w:id="218" w:name="_Toc471910822"/>
      <w:r>
        <w:t>Hosted Payload Worldview</w:t>
      </w:r>
      <w:bookmarkEnd w:id="218"/>
    </w:p>
    <w:p w14:paraId="50492FD7" w14:textId="77777777" w:rsidR="00DB15E9" w:rsidRDefault="0078312E">
      <w:pPr>
        <w:pStyle w:val="Requirement"/>
      </w:pPr>
      <w:r>
        <w:t>The Instrument should prevent itself or any of its components from damaging or otherwise degrading the mission performance of the Host Spacecraft or any other payloads.</w:t>
      </w:r>
    </w:p>
    <w:p w14:paraId="22BD2CD0" w14:textId="77777777" w:rsidR="00DB15E9" w:rsidRDefault="0078312E">
      <w:pPr>
        <w:pStyle w:val="ESSPBodyText"/>
      </w:pPr>
      <w:r>
        <w:t>Rationale: The most important constraint on a hosted payload is to “do no harm” to the Host Spacecraft or other payloads. For example, the Instrument should not intentionally generate orbital debris. The Satellite Operator will have the authority and capability to remove power or otherwise terminate the Instrument should either the Host Spacecraft's available services degrade or the Instrument pose a threat to the Host Spacecraft. This guideline applies over the period beginning at the initiation of Instrument integration to the Host Spacecraft and ending at the completion of the disposal of the Host Spacecraft. It is important to note that most GEO communications satellites have a nominal mission lifetime in excess of 15 years while a hosted payload Instrument nominal lifetime is on the order of five years.</w:t>
      </w:r>
    </w:p>
    <w:p w14:paraId="4E6CFC02" w14:textId="77777777" w:rsidR="00DB15E9" w:rsidRDefault="0078312E">
      <w:pPr>
        <w:pStyle w:val="Heading2"/>
      </w:pPr>
      <w:bookmarkStart w:id="219" w:name="_Toc471910823"/>
      <w:r>
        <w:t>Mission Risk</w:t>
      </w:r>
      <w:bookmarkEnd w:id="219"/>
      <w:r>
        <w:t xml:space="preserve"> </w:t>
      </w:r>
    </w:p>
    <w:p w14:paraId="460CA767" w14:textId="77777777" w:rsidR="00DB15E9" w:rsidRDefault="0078312E">
      <w:pPr>
        <w:pStyle w:val="Requirement"/>
      </w:pPr>
      <w:r>
        <w:t xml:space="preserve">The Instrument should comply with Mission Risk class, as required by the customer such as the AO. </w:t>
      </w:r>
    </w:p>
    <w:p w14:paraId="6E7EE99D" w14:textId="77777777" w:rsidR="00DB15E9" w:rsidRDefault="0078312E">
      <w:pPr>
        <w:pStyle w:val="Requirement"/>
      </w:pPr>
      <w:r>
        <w:t xml:space="preserve">Mission risk classes are a measure of the instrument’s mission design and reliability. Regardless of the instrument’s mission risk class, the instrument must conform to the host “do no harm” requirements. </w:t>
      </w:r>
    </w:p>
    <w:p w14:paraId="15D52C04" w14:textId="77777777" w:rsidR="00DB15E9" w:rsidRDefault="0078312E">
      <w:pPr>
        <w:pStyle w:val="ESSPBodyText"/>
      </w:pPr>
      <w:r>
        <w:t>Rationale: NPR 8705.4 assigns Class C to medium priority, medium risk payloads, with medium to low complexity, short mission lifetime, and medium to low cost. The EVI-1 Announcement of Opportunity solicited “… proposals for science investigations requiring the development and operation of space-based instruments, designated as Class C on a platform to be identified by NASA at a later date.”</w:t>
      </w:r>
      <w:r>
        <w:rPr>
          <w:vertAlign w:val="superscript"/>
        </w:rPr>
        <w:footnoteReference w:id="1"/>
      </w:r>
      <w:r>
        <w:t xml:space="preserve"> An instrument designed as a 1 yr demonstration mission (Class C/D) must </w:t>
      </w:r>
      <w:r>
        <w:lastRenderedPageBreak/>
        <w:t>satisfy the reliability and “do no harm” requirements associated with a 15 yr GEO spacecraft (Class A/B). Future AOs will specify the risk class of the instrument.</w:t>
      </w:r>
    </w:p>
    <w:p w14:paraId="2E065239" w14:textId="77777777" w:rsidR="00DB15E9" w:rsidRDefault="0078312E">
      <w:pPr>
        <w:pStyle w:val="Heading2"/>
      </w:pPr>
      <w:bookmarkStart w:id="220" w:name="_Toc471910824"/>
      <w:r>
        <w:t>Instrument End of Life</w:t>
      </w:r>
      <w:bookmarkEnd w:id="220"/>
      <w:r>
        <w:t xml:space="preserve"> </w:t>
      </w:r>
    </w:p>
    <w:p w14:paraId="438D1419" w14:textId="77777777" w:rsidR="00DB15E9" w:rsidRDefault="0078312E">
      <w:pPr>
        <w:pStyle w:val="Requirement"/>
      </w:pPr>
      <w:r>
        <w:t>The Instrument should place itself into a “safe” configuration upon reaching its end of life to prevent damage to the Host Spacecraft or any other payloads.</w:t>
      </w:r>
    </w:p>
    <w:p w14:paraId="1648D030" w14:textId="77777777" w:rsidR="00DB15E9" w:rsidRDefault="0078312E">
      <w:pPr>
        <w:pStyle w:val="ESSPBodyText"/>
      </w:pPr>
      <w:r>
        <w:t xml:space="preserve">Rationale: The Instrument may have potential energy remaining in components such as pressure vessels, mechanisms, batteries, and capacitors, from which a post-retirement failure might cause damage to the Spacecraft Host or its payloads. The Instrument Developer should develop, in concert with the Host Spacecraft and the Satellite Operator, an End of Mission Plan that specifies the actions that the Instrument payload and Host Spacecraft will take to “safe” the Instrument payload by reduction of potential energy once either party declares the Instrument’s mission “Complete.” </w:t>
      </w:r>
    </w:p>
    <w:p w14:paraId="02677165" w14:textId="77777777" w:rsidR="00DB15E9" w:rsidRDefault="0078312E">
      <w:pPr>
        <w:pStyle w:val="Heading2"/>
      </w:pPr>
      <w:bookmarkStart w:id="221" w:name="_Toc471910825"/>
      <w:r>
        <w:t>Prevention of Failure Back-Propagation</w:t>
      </w:r>
      <w:bookmarkEnd w:id="221"/>
      <w:r>
        <w:t xml:space="preserve"> </w:t>
      </w:r>
    </w:p>
    <w:p w14:paraId="5575ECC2" w14:textId="77777777" w:rsidR="00DB15E9" w:rsidRDefault="0078312E">
      <w:pPr>
        <w:pStyle w:val="Requirement"/>
      </w:pPr>
      <w:r>
        <w:t>The Instrument and all of its components should prevent anomalous conditions, including failures, from propagating to the Host Spacecraft or other payloads.</w:t>
      </w:r>
    </w:p>
    <w:p w14:paraId="2808A9BE" w14:textId="77777777" w:rsidR="00DB15E9" w:rsidRDefault="0078312E">
      <w:pPr>
        <w:pStyle w:val="ESSPBodyText"/>
      </w:pPr>
      <w:r>
        <w:t>Rationale: The Instrument design should isolate the effects of Instrument anomalies and failures, such as power spikes, momentum transients, and electromagnetic interference so that they are contained within the boundaries of the Instrument system.</w:t>
      </w:r>
    </w:p>
    <w:p w14:paraId="6F64B1A4" w14:textId="77777777" w:rsidR="00DB15E9" w:rsidRDefault="0078312E">
      <w:pPr>
        <w:pStyle w:val="Heading2"/>
      </w:pPr>
      <w:bookmarkStart w:id="222" w:name="_Toc471910826"/>
      <w:r>
        <w:t>Data Guidelines</w:t>
      </w:r>
      <w:bookmarkEnd w:id="222"/>
      <w:r>
        <w:t xml:space="preserve"> </w:t>
      </w:r>
    </w:p>
    <w:p w14:paraId="04FFD5B2" w14:textId="77777777" w:rsidR="00DB15E9" w:rsidRDefault="0078312E">
      <w:pPr>
        <w:pStyle w:val="Heading3"/>
      </w:pPr>
      <w:bookmarkStart w:id="223" w:name="_Toc471910827"/>
      <w:r>
        <w:t>Assumptions</w:t>
      </w:r>
      <w:bookmarkEnd w:id="223"/>
    </w:p>
    <w:p w14:paraId="65B5BD8B" w14:textId="77777777" w:rsidR="00DB15E9" w:rsidRDefault="0078312E">
      <w:pPr>
        <w:pStyle w:val="ESSPBodyText"/>
      </w:pPr>
      <w:r>
        <w:t>The HPIG data assume the following regarding the Host Spacecraft:</w:t>
      </w:r>
    </w:p>
    <w:p w14:paraId="083559F6" w14:textId="77777777" w:rsidR="00DB15E9" w:rsidRDefault="0078312E">
      <w:pPr>
        <w:pStyle w:val="ESSPNumberedList"/>
        <w:numPr>
          <w:ilvl w:val="0"/>
          <w:numId w:val="10"/>
        </w:numPr>
      </w:pPr>
      <w:r>
        <w:t>During the pairing process, the Host Spacecraft Manufacturer/Systems Integrator and the Instrument Developer will negotiate detailed parameters of the data interface. The Data Interface Control Document (DICD) will record those parameters and decisions.</w:t>
      </w:r>
    </w:p>
    <w:p w14:paraId="01C8EB64" w14:textId="77777777" w:rsidR="00DB15E9" w:rsidRDefault="0078312E">
      <w:pPr>
        <w:pStyle w:val="Heading3"/>
      </w:pPr>
      <w:bookmarkStart w:id="224" w:name="_Toc471910828"/>
      <w:r>
        <w:t>Data Interface</w:t>
      </w:r>
      <w:bookmarkEnd w:id="224"/>
    </w:p>
    <w:p w14:paraId="13FB1793" w14:textId="77777777" w:rsidR="00DB15E9" w:rsidRDefault="0078312E">
      <w:pPr>
        <w:pStyle w:val="Heading4"/>
      </w:pPr>
      <w:bookmarkStart w:id="225" w:name="_Toc471910829"/>
      <w:r>
        <w:t>Command and telemetry</w:t>
      </w:r>
      <w:bookmarkEnd w:id="225"/>
      <w:r>
        <w:t xml:space="preserve"> </w:t>
      </w:r>
    </w:p>
    <w:p w14:paraId="22C41762" w14:textId="77777777" w:rsidR="00DB15E9" w:rsidRDefault="0078312E">
      <w:pPr>
        <w:pStyle w:val="Requirement"/>
      </w:pPr>
      <w:r>
        <w:t>The Instrument should use MIL-STD-1553 as the command and telemetry data interface with the Host spacecraft.</w:t>
      </w:r>
    </w:p>
    <w:p w14:paraId="57C1BED3" w14:textId="77777777" w:rsidR="00DB15E9" w:rsidRDefault="0078312E">
      <w:pPr>
        <w:pStyle w:val="ESSPBodyText"/>
      </w:pPr>
      <w:r>
        <w:t>Rationale: The use of MIL-STD-1553 for command and telemetry is nearly universal across GEO spacecraft buses.</w:t>
      </w:r>
    </w:p>
    <w:p w14:paraId="3EC295A5" w14:textId="77777777" w:rsidR="00DB15E9" w:rsidRDefault="0078312E">
      <w:pPr>
        <w:pStyle w:val="Heading4"/>
      </w:pPr>
      <w:bookmarkStart w:id="226" w:name="_Toc471910830"/>
      <w:r>
        <w:t>Science</w:t>
      </w:r>
      <w:bookmarkEnd w:id="226"/>
      <w:r>
        <w:t xml:space="preserve"> </w:t>
      </w:r>
    </w:p>
    <w:p w14:paraId="49F3B17C" w14:textId="77777777" w:rsidR="00DB15E9" w:rsidRDefault="0078312E">
      <w:pPr>
        <w:pStyle w:val="Requirement"/>
      </w:pPr>
      <w:r>
        <w:t xml:space="preserve"> The Instrument should send science data directly to its transponder via an RS-422, LVDS, or SpaceWire interface.</w:t>
      </w:r>
    </w:p>
    <w:p w14:paraId="24ECB405" w14:textId="77777777" w:rsidR="00DB15E9" w:rsidRDefault="0078312E">
      <w:pPr>
        <w:pStyle w:val="ESSPBodyText"/>
      </w:pPr>
      <w:r>
        <w:t>Rationale: The use of RS-422, LVDS, or SpaceWire directly to a transponder for high-volume payload data is a common practice on GEO spacecraft buses.</w:t>
      </w:r>
    </w:p>
    <w:p w14:paraId="27C2F2B8" w14:textId="77777777" w:rsidR="00DB15E9" w:rsidRDefault="0078312E">
      <w:pPr>
        <w:pStyle w:val="Heading3"/>
      </w:pPr>
      <w:bookmarkStart w:id="227" w:name="_Toc471910831"/>
      <w:r>
        <w:lastRenderedPageBreak/>
        <w:t>Data Accommodation</w:t>
      </w:r>
      <w:bookmarkEnd w:id="227"/>
      <w:r>
        <w:t xml:space="preserve"> </w:t>
      </w:r>
    </w:p>
    <w:p w14:paraId="7CE63A95" w14:textId="77777777" w:rsidR="00DB15E9" w:rsidRDefault="0078312E">
      <w:pPr>
        <w:pStyle w:val="Heading4"/>
      </w:pPr>
      <w:bookmarkStart w:id="228" w:name="_Toc471910832"/>
      <w:r>
        <w:t>Command and telemetry</w:t>
      </w:r>
      <w:bookmarkEnd w:id="228"/>
      <w:r>
        <w:t xml:space="preserve"> </w:t>
      </w:r>
    </w:p>
    <w:p w14:paraId="276259BF" w14:textId="77777777" w:rsidR="00DB15E9" w:rsidRDefault="0078312E">
      <w:pPr>
        <w:pStyle w:val="Requirement"/>
      </w:pPr>
      <w:r>
        <w:t>The Instrument should utilize less than 500 bps of MIL-STD-1553 bus bandwidth when communicating with the Host Spacecraft.</w:t>
      </w:r>
    </w:p>
    <w:p w14:paraId="0319B25B" w14:textId="77777777" w:rsidR="00DB15E9" w:rsidRDefault="0078312E">
      <w:pPr>
        <w:pStyle w:val="ESSPBodyText"/>
      </w:pPr>
      <w:r>
        <w:t>Rationale: The MIL-STD-1553 maximum 1 Mbps data rate is a shared resource. Most spacecraft buses provide between 250 bps and 2 kbps for commanding and up to 4 kbps for telemetry for all instruments and components on the spacecraft bus. Telemetry that is not critical to the health and safety of either the Instrument or Host Spacecraft does not need to be monitored by the Satellite Operator and therefore may be multiplexed with Instrument science data.</w:t>
      </w:r>
    </w:p>
    <w:p w14:paraId="0BDC08DB" w14:textId="77777777" w:rsidR="00DB15E9" w:rsidRDefault="0078312E">
      <w:pPr>
        <w:pStyle w:val="Heading4"/>
      </w:pPr>
      <w:bookmarkStart w:id="229" w:name="_Toc471910833"/>
      <w:r>
        <w:t>Science</w:t>
      </w:r>
      <w:bookmarkEnd w:id="229"/>
      <w:r>
        <w:t xml:space="preserve"> </w:t>
      </w:r>
    </w:p>
    <w:p w14:paraId="134C6B17" w14:textId="77777777" w:rsidR="00DB15E9" w:rsidRDefault="0078312E">
      <w:pPr>
        <w:pStyle w:val="Requirement"/>
      </w:pPr>
      <w:r>
        <w:t>The Instrument should transmit less than 60 Mbps of science data to its transponder.</w:t>
      </w:r>
    </w:p>
    <w:p w14:paraId="75B51E4B" w14:textId="77777777" w:rsidR="00DB15E9" w:rsidRDefault="0078312E">
      <w:pPr>
        <w:pStyle w:val="ESSPBodyText"/>
      </w:pPr>
      <w:r>
        <w:t>Rationale: Transponder bandwidth is a function of lease cost and hardware capability. Data rates in the range of 60-80 Mbps for a single transponder are common. Higher data rates can be achieved with multiple transponders (at an increased cost).</w:t>
      </w:r>
    </w:p>
    <w:p w14:paraId="4058291B" w14:textId="77777777" w:rsidR="00DB15E9" w:rsidRDefault="0078312E">
      <w:pPr>
        <w:pStyle w:val="Heading3"/>
      </w:pPr>
      <w:bookmarkStart w:id="230" w:name="_Toc471910834"/>
      <w:r>
        <w:t>Onboard Science Data Storage</w:t>
      </w:r>
      <w:bookmarkEnd w:id="230"/>
    </w:p>
    <w:p w14:paraId="112DCACD" w14:textId="77777777" w:rsidR="00DB15E9" w:rsidRDefault="0078312E">
      <w:pPr>
        <w:pStyle w:val="Requirement"/>
      </w:pPr>
      <w:r>
        <w:t>The Instrument should be responsible for its own science data onboard storage capabilities.</w:t>
      </w:r>
    </w:p>
    <w:p w14:paraId="24C9D3B8" w14:textId="77777777" w:rsidR="00DB15E9" w:rsidRDefault="0078312E">
      <w:pPr>
        <w:pStyle w:val="ESSPBodyText"/>
        <w:rPr>
          <w:rFonts w:asciiTheme="majorHAnsi" w:hAnsiTheme="majorHAnsi" w:cstheme="majorHAnsi"/>
        </w:rPr>
      </w:pPr>
      <w:r>
        <w:t>Rationale: Buffering all data on the Instrument imposes no storage capacity requirements on the Host Spacecraft. This is consistent with the direct-to-transponder science data interface. A spacecraft needs only enough buffer capacity to relay Instrument telemetry. Fewer resource impacts on the spacecraft maximize Instrument hosting opportunities.</w:t>
      </w:r>
    </w:p>
    <w:p w14:paraId="6DCC0AFD" w14:textId="77777777" w:rsidR="00DB15E9" w:rsidRDefault="0078312E">
      <w:pPr>
        <w:pStyle w:val="Heading3"/>
      </w:pPr>
      <w:bookmarkStart w:id="231" w:name="_Toc471910835"/>
      <w:r>
        <w:t>Command and Telemetry Dictionary</w:t>
      </w:r>
      <w:bookmarkEnd w:id="231"/>
    </w:p>
    <w:p w14:paraId="47CE813F" w14:textId="77777777" w:rsidR="00DB15E9" w:rsidRDefault="0078312E">
      <w:pPr>
        <w:pStyle w:val="Requirement"/>
      </w:pPr>
      <w:r>
        <w:t>The Instrument Provider should provide a command and telemetry dictionary to the Host Spacecraft Manufacturer, the format and detail of which will be negotiated with the Host Spacecraft Manufacturer.</w:t>
      </w:r>
    </w:p>
    <w:p w14:paraId="5841391C" w14:textId="77777777" w:rsidR="00DB15E9" w:rsidRDefault="0078312E">
      <w:pPr>
        <w:pStyle w:val="ESSPBodyText"/>
      </w:pPr>
      <w:r>
        <w:t>Rationale: A command dictionary defines all instrument commands in detail, by describing the command, including purpose, preconditions, possible restrictions on use, command arguments and data types (including units of measure, if applicable), and expected results (</w:t>
      </w:r>
      <w:r>
        <w:rPr>
          <w:i/>
        </w:rPr>
        <w:t>e.g.</w:t>
      </w:r>
      <w:r>
        <w:t xml:space="preserve"> hardware actuation and/or responses in telemetry) in both nominal and off-nominal cases. Depending on the level of detail required, a command dictionary may also cover binary formats (</w:t>
      </w:r>
      <w:r>
        <w:rPr>
          <w:i/>
        </w:rPr>
        <w:t>e.g</w:t>
      </w:r>
      <w:r>
        <w:t xml:space="preserve">. packets, opcodes, </w:t>
      </w:r>
      <w:r>
        <w:rPr>
          <w:i/>
        </w:rPr>
        <w:t>etc</w:t>
      </w:r>
      <w:r>
        <w:t>.).</w:t>
      </w:r>
    </w:p>
    <w:p w14:paraId="5938BE3D" w14:textId="77777777" w:rsidR="00DB15E9" w:rsidRDefault="0078312E">
      <w:pPr>
        <w:pStyle w:val="ESSPBodyText"/>
      </w:pPr>
      <w:r>
        <w:t>Rationale:</w:t>
      </w:r>
      <w:r>
        <w:rPr>
          <w:rStyle w:val="Hyperlink"/>
          <w:noProof/>
          <w:u w:val="none"/>
        </w:rPr>
        <w:t xml:space="preserve"> </w:t>
      </w:r>
      <w:r>
        <w:t>A telemetry dictionary defines all information reported by the instrument in detail, by describing the data type, units of measure, and expected frequency of each measured or derived value. If telemetry is multiplexed or otherwise encoded (</w:t>
      </w:r>
      <w:r>
        <w:rPr>
          <w:i/>
        </w:rPr>
        <w:t xml:space="preserve">e.g. </w:t>
      </w:r>
      <w:r>
        <w:t>into virtual channels), the telemetry dictionary will also describe decommutation procedures which may include software or algorithms. By their nature, telemetry dictionaries often detail binary packet formats.</w:t>
      </w:r>
    </w:p>
    <w:p w14:paraId="70E7068B" w14:textId="77777777" w:rsidR="00DB15E9" w:rsidRDefault="0078312E">
      <w:pPr>
        <w:pStyle w:val="Heading3"/>
      </w:pPr>
      <w:bookmarkStart w:id="232" w:name="_Toc471910836"/>
      <w:r>
        <w:t>SAFE mode</w:t>
      </w:r>
      <w:bookmarkEnd w:id="232"/>
    </w:p>
    <w:p w14:paraId="69F30146" w14:textId="77777777" w:rsidR="00DB15E9" w:rsidRDefault="0078312E">
      <w:pPr>
        <w:pStyle w:val="Requirement"/>
      </w:pPr>
      <w:r>
        <w:t>The Instrument should provide a SAFE mode.</w:t>
      </w:r>
    </w:p>
    <w:p w14:paraId="2A84C128" w14:textId="77777777" w:rsidR="00DB15E9" w:rsidRDefault="0078312E">
      <w:pPr>
        <w:pStyle w:val="ESSPBodyText"/>
      </w:pPr>
      <w:r>
        <w:t>The Instrument Safe mode is a combined Instrument hardware and software configuration meant to protect the Instrument from possible internal or external harm while making minimal use of Host Spacecraft resources (</w:t>
      </w:r>
      <w:r>
        <w:rPr>
          <w:i/>
        </w:rPr>
        <w:t>e.g.</w:t>
      </w:r>
      <w:r>
        <w:t xml:space="preserve"> power).</w:t>
      </w:r>
    </w:p>
    <w:p w14:paraId="41F2F67F" w14:textId="77777777" w:rsidR="00DB15E9" w:rsidRDefault="0078312E">
      <w:pPr>
        <w:pStyle w:val="ESSPBodyText"/>
      </w:pPr>
      <w:r>
        <w:lastRenderedPageBreak/>
        <w:t>Note: Please see Appendix D for a discussion of the notional instrument mode scheme referenced in this document.</w:t>
      </w:r>
    </w:p>
    <w:p w14:paraId="20E72D3F" w14:textId="77777777" w:rsidR="00DB15E9" w:rsidRDefault="0078312E">
      <w:pPr>
        <w:pStyle w:val="Heading4"/>
      </w:pPr>
      <w:bookmarkStart w:id="233" w:name="_Toc471910837"/>
      <w:r>
        <w:t>Command (SAFE mode)</w:t>
      </w:r>
      <w:bookmarkEnd w:id="233"/>
    </w:p>
    <w:p w14:paraId="5FBF8BD2" w14:textId="77777777" w:rsidR="00DB15E9" w:rsidRDefault="0078312E">
      <w:pPr>
        <w:pStyle w:val="Requirement"/>
      </w:pPr>
      <w:r>
        <w:t>The Instrument should enter SAFE mode when commanded either directly by the Host Spacecraft or via ground operator command.</w:t>
      </w:r>
    </w:p>
    <w:p w14:paraId="5263F17F" w14:textId="77777777" w:rsidR="00DB15E9" w:rsidRDefault="0078312E">
      <w:pPr>
        <w:pStyle w:val="ESSPBodyText"/>
      </w:pPr>
      <w:r>
        <w:t>Rationale: The ability to put the Instrument into SAFE mode protects and preserves both the Instrument and the Host Spacecraft under anomalous and resource constrained conditions.</w:t>
      </w:r>
    </w:p>
    <w:p w14:paraId="5F3478CA" w14:textId="77777777" w:rsidR="00DB15E9" w:rsidRDefault="0078312E">
      <w:pPr>
        <w:pStyle w:val="Heading3"/>
      </w:pPr>
      <w:bookmarkStart w:id="234" w:name="_Toc471910838"/>
      <w:r>
        <w:t>Command (Data Flow Control)</w:t>
      </w:r>
      <w:bookmarkEnd w:id="234"/>
    </w:p>
    <w:p w14:paraId="7B0ACD8C" w14:textId="77777777" w:rsidR="00DB15E9" w:rsidRDefault="0078312E">
      <w:pPr>
        <w:pStyle w:val="Requirement"/>
      </w:pPr>
      <w:r>
        <w:t>The Instrument should respond to commands to suspend and resume the transmission of Instrument telemetry and Instrument science data.</w:t>
      </w:r>
    </w:p>
    <w:p w14:paraId="687C70D6" w14:textId="77777777" w:rsidR="00DB15E9" w:rsidRDefault="0078312E">
      <w:pPr>
        <w:pStyle w:val="ESSPBodyText"/>
      </w:pPr>
      <w:r>
        <w:t>Rationale: Data flow control allows the Host Spacecraft Manufacturer, Satellite Operator, and ground operations team to devise and operate Fault Detection Isolation, and Recovery (FDIR) procedures, crucial for on-orbit operations.</w:t>
      </w:r>
    </w:p>
    <w:p w14:paraId="0901C10D" w14:textId="77777777" w:rsidR="00DB15E9" w:rsidRDefault="0078312E">
      <w:pPr>
        <w:pStyle w:val="Heading3"/>
      </w:pPr>
      <w:bookmarkStart w:id="235" w:name="_Toc471910839"/>
      <w:r>
        <w:t>Command (Acknowledgement)</w:t>
      </w:r>
      <w:bookmarkEnd w:id="235"/>
    </w:p>
    <w:p w14:paraId="2357B424" w14:textId="77777777" w:rsidR="00DB15E9" w:rsidRDefault="0078312E">
      <w:pPr>
        <w:pStyle w:val="Requirement"/>
      </w:pPr>
      <w:r>
        <w:t>The Instrument should acknowledge the receipt of all commands, in its telemetry.</w:t>
      </w:r>
    </w:p>
    <w:p w14:paraId="76A68731" w14:textId="77777777" w:rsidR="00DB15E9" w:rsidRDefault="0078312E">
      <w:pPr>
        <w:pStyle w:val="ESSPBodyText"/>
      </w:pPr>
      <w:r>
        <w:t>Rationale: Command acknowledgement allows the Host Spacecraft Manufacturer, Satellite Operator, and ground operations team to devise and operate FDIR procedures, crucial for on-orbit operations.</w:t>
      </w:r>
    </w:p>
    <w:p w14:paraId="6D9D52E4" w14:textId="77777777" w:rsidR="00DB15E9" w:rsidRDefault="0078312E">
      <w:pPr>
        <w:pStyle w:val="Heading2"/>
      </w:pPr>
      <w:bookmarkStart w:id="236" w:name="_Toc471910840"/>
      <w:r>
        <w:t>Electrical Power System</w:t>
      </w:r>
      <w:bookmarkEnd w:id="236"/>
      <w:r>
        <w:t xml:space="preserve"> </w:t>
      </w:r>
    </w:p>
    <w:p w14:paraId="4781EAD7" w14:textId="77777777" w:rsidR="00DB15E9" w:rsidRDefault="0078312E">
      <w:pPr>
        <w:pStyle w:val="Heading3"/>
      </w:pPr>
      <w:bookmarkStart w:id="237" w:name="_Toc471910841"/>
      <w:r>
        <w:t>Assumptions</w:t>
      </w:r>
      <w:bookmarkEnd w:id="237"/>
    </w:p>
    <w:p w14:paraId="5E1B173D" w14:textId="77777777" w:rsidR="00DB15E9" w:rsidRDefault="0078312E">
      <w:pPr>
        <w:pStyle w:val="ESSPBodyText"/>
      </w:pPr>
      <w:r>
        <w:t>The HPIG electrical power assume the following regarding the Host Spacecraft:</w:t>
      </w:r>
    </w:p>
    <w:p w14:paraId="505776E5" w14:textId="77777777" w:rsidR="00DB15E9" w:rsidRDefault="0078312E">
      <w:pPr>
        <w:pStyle w:val="ESSPNumberedList"/>
        <w:numPr>
          <w:ilvl w:val="0"/>
          <w:numId w:val="11"/>
        </w:numPr>
      </w:pPr>
      <w:r>
        <w:t>During the pairing process, the Host Spacecraft Manufacturer/Systems Integrator and the Instrument Developer will negotiate detailed parameters of the electrical power interface. The Electrical Power Interface Control Document (EICD) will record those parameters and decisions.</w:t>
      </w:r>
    </w:p>
    <w:p w14:paraId="46791312" w14:textId="77777777" w:rsidR="00DB15E9" w:rsidRDefault="0078312E">
      <w:pPr>
        <w:pStyle w:val="ESSPNumberedList"/>
      </w:pPr>
      <w:r>
        <w:t xml:space="preserve">The Host Spacecraft will supply to the Instrument EPS regulated electrical power within the range of 28 </w:t>
      </w:r>
      <w:r>
        <w:rPr>
          <w:rFonts w:cs="Calibri"/>
        </w:rPr>
        <w:t>±3</w:t>
      </w:r>
      <w:r>
        <w:t xml:space="preserve"> VDC, including ripple and normal transients as defined below, and power distribution losses due to switching, fusing, harness and connectors.</w:t>
      </w:r>
    </w:p>
    <w:p w14:paraId="2DDD7840" w14:textId="77777777" w:rsidR="00DB15E9" w:rsidRDefault="0078312E">
      <w:pPr>
        <w:pStyle w:val="ESSPNumberedList"/>
      </w:pPr>
      <w:r>
        <w:t>The Host Spacecraft will provide connections to two 150W (Average Power: AP) power buses as well as a dedicated bus to power the Instrument’s survival heaters. Each power bus will be capable of supporting both primary and redundant power circuits. For the purpose of illustration, this document labels these buses as Power Bus #1, Power Bus #2, and Survival Heater Power Bus. This document also labels the primary and redundant circuits as A and B, respect</w:t>
      </w:r>
      <w:r>
        <w:rPr>
          <w:rFonts w:asciiTheme="majorHAnsi" w:hAnsiTheme="majorHAnsi" w:cstheme="majorHAnsi"/>
        </w:rPr>
        <w:t xml:space="preserve">ively. </w:t>
      </w:r>
      <w:r>
        <w:rPr>
          <w:rStyle w:val="ESSPBodyTextChar"/>
        </w:rPr>
        <w:t>Figure 3-1</w:t>
      </w:r>
      <w:r>
        <w:rPr>
          <w:rFonts w:asciiTheme="majorHAnsi" w:hAnsiTheme="majorHAnsi" w:cstheme="majorHAnsi"/>
        </w:rPr>
        <w:t xml:space="preserve"> sho</w:t>
      </w:r>
      <w:r>
        <w:t>ws a pictorial representation of this architecture.</w:t>
      </w:r>
    </w:p>
    <w:p w14:paraId="245AF982" w14:textId="77777777" w:rsidR="00DB15E9" w:rsidRDefault="0078312E">
      <w:pPr>
        <w:pStyle w:val="ESSPFigure"/>
      </w:pPr>
      <w:r>
        <w:lastRenderedPageBreak/>
        <w:drawing>
          <wp:inline distT="0" distB="0" distL="0" distR="0" wp14:anchorId="402311E8" wp14:editId="1C72CDAC">
            <wp:extent cx="5210354" cy="626209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al Interface.pdf"/>
                    <pic:cNvPicPr/>
                  </pic:nvPicPr>
                  <pic:blipFill>
                    <a:blip r:embed="rId23">
                      <a:extLst>
                        <a:ext uri="{28A0092B-C50C-407E-A947-70E740481C1C}">
                          <a14:useLocalDpi xmlns:a14="http://schemas.microsoft.com/office/drawing/2010/main" val="0"/>
                        </a:ext>
                      </a:extLst>
                    </a:blip>
                    <a:stretch>
                      <a:fillRect/>
                    </a:stretch>
                  </pic:blipFill>
                  <pic:spPr>
                    <a:xfrm>
                      <a:off x="0" y="0"/>
                      <a:ext cx="5213436" cy="6265800"/>
                    </a:xfrm>
                    <a:prstGeom prst="rect">
                      <a:avLst/>
                    </a:prstGeom>
                  </pic:spPr>
                </pic:pic>
              </a:graphicData>
            </a:graphic>
          </wp:inline>
        </w:drawing>
      </w:r>
    </w:p>
    <w:p w14:paraId="5122A3ED" w14:textId="77777777" w:rsidR="00DB15E9" w:rsidRDefault="0078312E">
      <w:pPr>
        <w:pStyle w:val="ESSPFigureCaption"/>
        <w:rPr>
          <w:rFonts w:ascii="Helvetica" w:hAnsi="Helvetica"/>
        </w:rPr>
      </w:pPr>
      <w:bookmarkStart w:id="238" w:name="_Toc471971592"/>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1</w:t>
      </w:r>
      <w:r>
        <w:rPr>
          <w:rFonts w:ascii="Helvetica" w:hAnsi="Helvetica"/>
        </w:rPr>
        <w:fldChar w:fldCharType="end"/>
      </w:r>
      <w:r>
        <w:rPr>
          <w:rFonts w:ascii="Helvetica" w:hAnsi="Helvetica"/>
        </w:rPr>
        <w:t>: Host Spacecraft-Instrument Electrical Interface (Depicted with the optional Instrument side redundant Power Bus B interface)</w:t>
      </w:r>
      <w:bookmarkEnd w:id="238"/>
    </w:p>
    <w:p w14:paraId="38F7A1AD" w14:textId="77777777" w:rsidR="00DB15E9" w:rsidRDefault="0078312E">
      <w:pPr>
        <w:pStyle w:val="ESSPNumberedList"/>
      </w:pPr>
      <w:r>
        <w:t>The Host Spacecraft will energize the Survival Heater Power at approximately 30% (or possibly higher, as negotiated with the host provider) of the AP [GEO] in accordance with the mission timeline documented in the EICD.</w:t>
      </w:r>
    </w:p>
    <w:p w14:paraId="0F0236E1" w14:textId="77777777" w:rsidR="00DB15E9" w:rsidRDefault="0078312E">
      <w:pPr>
        <w:pStyle w:val="ESSPNumberedList"/>
      </w:pPr>
      <w:r>
        <w:lastRenderedPageBreak/>
        <w:t>The Host Spacecraft Manufacturer will supply a definition of the maximum source impedance by frequency band.</w:t>
      </w:r>
      <w:r>
        <w:rPr>
          <w:rFonts w:asciiTheme="majorHAnsi" w:hAnsiTheme="majorHAnsi" w:cstheme="majorHAnsi"/>
        </w:rPr>
        <w:t xml:space="preserve"> </w:t>
      </w:r>
      <w:r>
        <w:rPr>
          <w:rStyle w:val="ESSPBodyTextChar"/>
        </w:rPr>
        <w:t>Table 3-1</w:t>
      </w:r>
      <w:r>
        <w:rPr>
          <w:rFonts w:asciiTheme="majorHAnsi" w:hAnsiTheme="majorHAnsi" w:cstheme="majorHAnsi"/>
        </w:rPr>
        <w:t xml:space="preserve"> </w:t>
      </w:r>
      <w:r>
        <w:t>provides an example of this definition.</w:t>
      </w:r>
    </w:p>
    <w:p w14:paraId="62FFFEB9" w14:textId="77777777" w:rsidR="00DB15E9" w:rsidRDefault="0078312E">
      <w:pPr>
        <w:pStyle w:val="ESSPFigureCaption"/>
        <w:keepNext/>
        <w:keepLines/>
        <w:rPr>
          <w:rFonts w:ascii="Helvetica" w:hAnsi="Helvetica"/>
        </w:rPr>
      </w:pPr>
      <w:bookmarkStart w:id="239" w:name="_Toc471971561"/>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w:instrText>
      </w:r>
      <w:r w:rsidR="00BA5284">
        <w:instrText xml:space="preserve">Q Table \* ARABIC \s 1 </w:instrText>
      </w:r>
      <w:r w:rsidR="00BA5284">
        <w:fldChar w:fldCharType="separate"/>
      </w:r>
      <w:r>
        <w:rPr>
          <w:noProof/>
        </w:rPr>
        <w:t>1</w:t>
      </w:r>
      <w:r w:rsidR="00BA5284">
        <w:rPr>
          <w:noProof/>
        </w:rPr>
        <w:fldChar w:fldCharType="end"/>
      </w:r>
      <w:r>
        <w:t xml:space="preserve">: </w:t>
      </w:r>
      <w:r>
        <w:rPr>
          <w:rFonts w:ascii="Helvetica" w:hAnsi="Helvetica"/>
        </w:rPr>
        <w:t>Example of Power Source Impedance Function</w:t>
      </w:r>
      <w:bookmarkEnd w:id="239"/>
    </w:p>
    <w:tbl>
      <w:tblPr>
        <w:tblStyle w:val="TableGrid8"/>
        <w:tblW w:w="7546" w:type="dxa"/>
        <w:jc w:val="center"/>
        <w:tblLayout w:type="fixed"/>
        <w:tblLook w:val="0620" w:firstRow="1" w:lastRow="0" w:firstColumn="0" w:lastColumn="0" w:noHBand="1" w:noVBand="1"/>
      </w:tblPr>
      <w:tblGrid>
        <w:gridCol w:w="3503"/>
        <w:gridCol w:w="4043"/>
      </w:tblGrid>
      <w:tr w:rsidR="00DB15E9" w14:paraId="2AF9854A" w14:textId="77777777" w:rsidTr="00DB15E9">
        <w:trPr>
          <w:cnfStyle w:val="100000000000" w:firstRow="1" w:lastRow="0" w:firstColumn="0" w:lastColumn="0" w:oddVBand="0" w:evenVBand="0" w:oddHBand="0" w:evenHBand="0" w:firstRowFirstColumn="0" w:firstRowLastColumn="0" w:lastRowFirstColumn="0" w:lastRowLastColumn="0"/>
          <w:trHeight w:val="288"/>
          <w:jc w:val="center"/>
        </w:trPr>
        <w:tc>
          <w:tcPr>
            <w:tcW w:w="3503" w:type="dxa"/>
          </w:tcPr>
          <w:p w14:paraId="11DBE6C3" w14:textId="77777777" w:rsidR="00DB15E9" w:rsidRDefault="0078312E">
            <w:pPr>
              <w:pStyle w:val="ESSPTableText"/>
            </w:pPr>
            <w:r>
              <w:t>Frequency</w:t>
            </w:r>
          </w:p>
        </w:tc>
        <w:tc>
          <w:tcPr>
            <w:tcW w:w="4043" w:type="dxa"/>
          </w:tcPr>
          <w:p w14:paraId="3C307B5D" w14:textId="77777777" w:rsidR="00DB15E9" w:rsidRDefault="0078312E">
            <w:pPr>
              <w:pStyle w:val="ESSPTableText"/>
            </w:pPr>
            <w:r>
              <w:t>Maximum Source Impedance [Ω]</w:t>
            </w:r>
          </w:p>
        </w:tc>
      </w:tr>
      <w:tr w:rsidR="00DB15E9" w14:paraId="2C8A88FF" w14:textId="77777777" w:rsidTr="00DB15E9">
        <w:trPr>
          <w:trHeight w:val="288"/>
          <w:jc w:val="center"/>
        </w:trPr>
        <w:tc>
          <w:tcPr>
            <w:tcW w:w="3503" w:type="dxa"/>
          </w:tcPr>
          <w:p w14:paraId="417B2DF1" w14:textId="77777777" w:rsidR="00DB15E9" w:rsidRDefault="0078312E">
            <w:pPr>
              <w:pStyle w:val="ESSPTableText"/>
            </w:pPr>
            <w:r>
              <w:t>1 Hz to 1 kHz</w:t>
            </w:r>
          </w:p>
        </w:tc>
        <w:tc>
          <w:tcPr>
            <w:tcW w:w="4043" w:type="dxa"/>
          </w:tcPr>
          <w:p w14:paraId="2D9E4A06" w14:textId="77777777" w:rsidR="00DB15E9" w:rsidRDefault="0078312E">
            <w:pPr>
              <w:pStyle w:val="ESSPTableText"/>
            </w:pPr>
            <w:r>
              <w:t xml:space="preserve">0.2 </w:t>
            </w:r>
          </w:p>
        </w:tc>
      </w:tr>
      <w:tr w:rsidR="00DB15E9" w14:paraId="7C04A9F8" w14:textId="77777777" w:rsidTr="00DB15E9">
        <w:trPr>
          <w:trHeight w:val="288"/>
          <w:jc w:val="center"/>
        </w:trPr>
        <w:tc>
          <w:tcPr>
            <w:tcW w:w="3503" w:type="dxa"/>
          </w:tcPr>
          <w:p w14:paraId="59B656AF" w14:textId="77777777" w:rsidR="00DB15E9" w:rsidRDefault="0078312E">
            <w:pPr>
              <w:pStyle w:val="ESSPTableText"/>
            </w:pPr>
            <w:r>
              <w:t>1 kHz to 20 kHz</w:t>
            </w:r>
          </w:p>
        </w:tc>
        <w:tc>
          <w:tcPr>
            <w:tcW w:w="4043" w:type="dxa"/>
          </w:tcPr>
          <w:p w14:paraId="43284C51" w14:textId="77777777" w:rsidR="00DB15E9" w:rsidRDefault="0078312E">
            <w:pPr>
              <w:pStyle w:val="ESSPTableText"/>
            </w:pPr>
            <w:r>
              <w:t>1.0</w:t>
            </w:r>
          </w:p>
        </w:tc>
      </w:tr>
      <w:tr w:rsidR="00DB15E9" w14:paraId="3C8A1704" w14:textId="77777777" w:rsidTr="00DB15E9">
        <w:trPr>
          <w:trHeight w:val="85"/>
          <w:jc w:val="center"/>
        </w:trPr>
        <w:tc>
          <w:tcPr>
            <w:tcW w:w="3503" w:type="dxa"/>
          </w:tcPr>
          <w:p w14:paraId="59F99A89" w14:textId="77777777" w:rsidR="00DB15E9" w:rsidRDefault="0078312E">
            <w:pPr>
              <w:pStyle w:val="ESSPTableText"/>
            </w:pPr>
            <w:r>
              <w:t>20 kHz to 100 kHz</w:t>
            </w:r>
          </w:p>
        </w:tc>
        <w:tc>
          <w:tcPr>
            <w:tcW w:w="4043" w:type="dxa"/>
          </w:tcPr>
          <w:p w14:paraId="57AA54F5" w14:textId="77777777" w:rsidR="00DB15E9" w:rsidRDefault="0078312E">
            <w:pPr>
              <w:pStyle w:val="ESSPTableText"/>
            </w:pPr>
            <w:r>
              <w:t>2.0</w:t>
            </w:r>
          </w:p>
        </w:tc>
      </w:tr>
      <w:tr w:rsidR="00DB15E9" w14:paraId="12D579B4" w14:textId="77777777" w:rsidTr="00DB15E9">
        <w:trPr>
          <w:trHeight w:val="288"/>
          <w:jc w:val="center"/>
        </w:trPr>
        <w:tc>
          <w:tcPr>
            <w:tcW w:w="3503" w:type="dxa"/>
          </w:tcPr>
          <w:p w14:paraId="18A1D065" w14:textId="77777777" w:rsidR="00DB15E9" w:rsidRDefault="0078312E">
            <w:pPr>
              <w:pStyle w:val="ESSPTableText"/>
            </w:pPr>
            <w:r>
              <w:t>100 kHz to 10 MHz</w:t>
            </w:r>
          </w:p>
        </w:tc>
        <w:tc>
          <w:tcPr>
            <w:tcW w:w="4043" w:type="dxa"/>
          </w:tcPr>
          <w:p w14:paraId="12C4614D" w14:textId="77777777" w:rsidR="00DB15E9" w:rsidRDefault="0078312E">
            <w:pPr>
              <w:pStyle w:val="ESSPTableText"/>
            </w:pPr>
            <w:r>
              <w:t>20.0</w:t>
            </w:r>
          </w:p>
        </w:tc>
      </w:tr>
    </w:tbl>
    <w:p w14:paraId="22AAA0BF" w14:textId="77777777" w:rsidR="00DB15E9" w:rsidRDefault="0078312E">
      <w:pPr>
        <w:pStyle w:val="ESSPNumberedList"/>
      </w:pPr>
      <w:r>
        <w:t>The Host Spacecraft Manufacturer will furnish all Host Spacecraft and Host Spacecraft-to-Instrument harnessing.</w:t>
      </w:r>
    </w:p>
    <w:p w14:paraId="06E57544" w14:textId="77777777" w:rsidR="00DB15E9" w:rsidRDefault="0078312E">
      <w:pPr>
        <w:pStyle w:val="ESSPNumberedList"/>
      </w:pPr>
      <w:r>
        <w:t>The Host Spacecraft will deliver Instrument power via twisted conductor (pair, quad, etc.) cables with both power and return leads enclosed by an electrical overshield.</w:t>
      </w:r>
    </w:p>
    <w:p w14:paraId="2BD055D2" w14:textId="77777777" w:rsidR="00DB15E9" w:rsidRDefault="0078312E">
      <w:pPr>
        <w:pStyle w:val="ESSPNumberedList"/>
      </w:pPr>
      <w:r>
        <w:t>The Host Spacecraft will protect its own electrical power system via overcurrent protection devices on its side of the interface.</w:t>
      </w:r>
    </w:p>
    <w:p w14:paraId="727921E4" w14:textId="77777777" w:rsidR="00DB15E9" w:rsidRDefault="0078312E">
      <w:pPr>
        <w:pStyle w:val="ESSPNumberedList"/>
      </w:pPr>
      <w:r>
        <w:t>The Host Spacecraft will utilize the same type of overcurrent protection device, such as latching current limiters or fuses, for all connections to the Instrument.</w:t>
      </w:r>
    </w:p>
    <w:p w14:paraId="2C162868" w14:textId="77777777" w:rsidR="00DB15E9" w:rsidRDefault="0078312E">
      <w:pPr>
        <w:pStyle w:val="ESSPNumberedList"/>
      </w:pPr>
      <w:r>
        <w:t xml:space="preserve">In the event that the Host Spacecraft battery state-of-charge falls below 50%, the Host Spacecraft will power off the Instrument after placing the Instrument in </w:t>
      </w:r>
      <w:r>
        <w:rPr>
          <w:smallCaps/>
        </w:rPr>
        <w:t>Safe</w:t>
      </w:r>
      <w:r>
        <w:t xml:space="preserve"> mode.</w:t>
      </w:r>
      <w:r>
        <w:rPr>
          <w:rFonts w:asciiTheme="majorHAnsi" w:hAnsiTheme="majorHAnsi" w:cstheme="majorHAnsi"/>
        </w:rPr>
        <w:t xml:space="preserve"> </w:t>
      </w:r>
      <w:r>
        <w:t xml:space="preserve">Instrument operations will not resume until the ground operators have determined it is safe to return to </w:t>
      </w:r>
      <w:r>
        <w:rPr>
          <w:smallCaps/>
        </w:rPr>
        <w:t>Operation</w:t>
      </w:r>
      <w:r>
        <w:t xml:space="preserve"> mode.</w:t>
      </w:r>
      <w:r>
        <w:rPr>
          <w:rFonts w:asciiTheme="majorHAnsi" w:hAnsiTheme="majorHAnsi" w:cstheme="majorHAnsi"/>
        </w:rPr>
        <w:t xml:space="preserve"> </w:t>
      </w:r>
      <w:r>
        <w:t>The Host Spacecraft will continue to provide Survival Heater Power, but may remove Survival Heater Power if conditions deteriorate significantly.</w:t>
      </w:r>
    </w:p>
    <w:p w14:paraId="6918EBEE" w14:textId="77777777" w:rsidR="00DB15E9" w:rsidRDefault="0078312E">
      <w:pPr>
        <w:pStyle w:val="ESSPNumberedList"/>
      </w:pPr>
      <w:r>
        <w:t>The Host Spacecraft will deliver a maximum transient current on any Power Feed bus of 100 percent (that is, two times the steady state current) of the maximum steady-state current for no longer than 50 ms.</w:t>
      </w:r>
    </w:p>
    <w:p w14:paraId="7C1FF49B" w14:textId="77777777" w:rsidR="00DB15E9" w:rsidRDefault="0078312E">
      <w:pPr>
        <w:pStyle w:val="Heading3"/>
      </w:pPr>
      <w:bookmarkStart w:id="240" w:name="_Toc471910842"/>
      <w:r>
        <w:t>Grounding</w:t>
      </w:r>
      <w:bookmarkEnd w:id="240"/>
    </w:p>
    <w:p w14:paraId="70F7D4C4" w14:textId="77777777" w:rsidR="00DB15E9" w:rsidRDefault="0078312E">
      <w:pPr>
        <w:pStyle w:val="Requirement"/>
      </w:pPr>
      <w:r>
        <w:t>The Instrument should electrically ground to a single point on the Host Spacecraft.</w:t>
      </w:r>
    </w:p>
    <w:p w14:paraId="6EAA6A25" w14:textId="77777777" w:rsidR="00DB15E9" w:rsidRDefault="0078312E">
      <w:pPr>
        <w:pStyle w:val="ESSPBodyText"/>
      </w:pPr>
      <w:r>
        <w:t xml:space="preserve">Rationale: The Instrument Electrical Power System (EPS) should ground in a way that reduces the potential to introduce stray currents or ground loop currents into the Instrument, Host Spacecraft, or other payloads. </w:t>
      </w:r>
    </w:p>
    <w:p w14:paraId="1AB712E4" w14:textId="77777777" w:rsidR="00DB15E9" w:rsidRDefault="0078312E">
      <w:pPr>
        <w:pStyle w:val="Heading4"/>
      </w:pPr>
      <w:bookmarkStart w:id="241" w:name="_Toc471910843"/>
      <w:r>
        <w:t>Grounding Documentation</w:t>
      </w:r>
      <w:bookmarkEnd w:id="241"/>
    </w:p>
    <w:p w14:paraId="7C5C7BA2" w14:textId="77777777" w:rsidR="00DB15E9" w:rsidRDefault="0078312E">
      <w:pPr>
        <w:pStyle w:val="Requirement"/>
      </w:pPr>
      <w:r>
        <w:t>The EICD will document how the Instrument will ground to the Host Spacecraft.</w:t>
      </w:r>
    </w:p>
    <w:p w14:paraId="02FFE8A5" w14:textId="77777777" w:rsidR="00DB15E9" w:rsidRDefault="0078312E">
      <w:pPr>
        <w:pStyle w:val="ESSPBodyText"/>
      </w:pPr>
      <w:r>
        <w:t>Rationale: It is necessary to define and document the Instrument to Host Spacecraft grounding interface architecture.</w:t>
      </w:r>
    </w:p>
    <w:p w14:paraId="2E8CBFE9" w14:textId="77777777" w:rsidR="00DB15E9" w:rsidRDefault="0078312E">
      <w:pPr>
        <w:pStyle w:val="Heading3"/>
      </w:pPr>
      <w:bookmarkStart w:id="242" w:name="_Toc471910844"/>
      <w:r>
        <w:t>Electrical Power Return</w:t>
      </w:r>
      <w:bookmarkEnd w:id="242"/>
    </w:p>
    <w:p w14:paraId="68AB0970" w14:textId="77777777" w:rsidR="00DB15E9" w:rsidRDefault="0078312E">
      <w:pPr>
        <w:pStyle w:val="Requirement"/>
      </w:pPr>
      <w:r>
        <w:t>The Instrument electrical power return should be via dedicated conductor(s).</w:t>
      </w:r>
    </w:p>
    <w:p w14:paraId="0495FC96" w14:textId="77777777" w:rsidR="00DB15E9" w:rsidRDefault="0078312E">
      <w:pPr>
        <w:pStyle w:val="ESSPBodyText"/>
      </w:pPr>
      <w:r>
        <w:lastRenderedPageBreak/>
        <w:t>Rationale: The Instrument Electrical Power System (EPS) should return electrical power via electrical harness or ground strap to reduce the potential to introduce stray currents or ground loop currents into the Instrument, Host Spacecraft, or other payloads.</w:t>
      </w:r>
    </w:p>
    <w:p w14:paraId="0907B361" w14:textId="77777777" w:rsidR="00DB15E9" w:rsidRDefault="0078312E">
      <w:pPr>
        <w:pStyle w:val="Heading3"/>
      </w:pPr>
      <w:bookmarkStart w:id="243" w:name="_Toc471910845"/>
      <w:r>
        <w:t>Accommodation</w:t>
      </w:r>
      <w:bookmarkEnd w:id="243"/>
    </w:p>
    <w:p w14:paraId="07793C26" w14:textId="77777777" w:rsidR="00DB15E9" w:rsidRDefault="0078312E">
      <w:pPr>
        <w:pStyle w:val="Requirement"/>
      </w:pPr>
      <w:r>
        <w:t xml:space="preserve">The Instrument should draw less than or equal to 300W of electrical power from the Host Spacecraft. </w:t>
      </w:r>
    </w:p>
    <w:p w14:paraId="51054237" w14:textId="77777777" w:rsidR="00DB15E9" w:rsidRDefault="0078312E">
      <w:pPr>
        <w:pStyle w:val="ESSPBodyText"/>
      </w:pPr>
      <w:r>
        <w:t>Rationale: The Host Spacecraft available electrical power varies significantly both by manufacturer and by spacecraft bus configuration.</w:t>
      </w:r>
      <w:r>
        <w:rPr>
          <w:rFonts w:asciiTheme="majorHAnsi" w:hAnsiTheme="majorHAnsi" w:cstheme="majorHAnsi"/>
        </w:rPr>
        <w:t xml:space="preserve"> </w:t>
      </w:r>
      <w:r>
        <w:t>300 Watts represents a power level that all of the Primary Manufacturers’</w:t>
      </w:r>
      <w:r>
        <w:rPr>
          <w:rStyle w:val="FootnoteReference"/>
        </w:rPr>
        <w:footnoteReference w:id="2"/>
      </w:r>
      <w:r>
        <w:t xml:space="preserve"> buses can accommodate, and requiring a power level less than this increases the likelihood of finding a suitable Host Spacecraft.</w:t>
      </w:r>
    </w:p>
    <w:p w14:paraId="51CA0B9A" w14:textId="77777777" w:rsidR="00DB15E9" w:rsidRDefault="0078312E">
      <w:pPr>
        <w:pStyle w:val="Heading3"/>
      </w:pPr>
      <w:bookmarkStart w:id="244" w:name="_Toc471910846"/>
      <w:r>
        <w:t>Voltage</w:t>
      </w:r>
      <w:bookmarkEnd w:id="244"/>
    </w:p>
    <w:p w14:paraId="4F2BE1B2" w14:textId="77777777" w:rsidR="00DB15E9" w:rsidRDefault="0078312E">
      <w:pPr>
        <w:pStyle w:val="Requirement"/>
      </w:pPr>
      <w:r>
        <w:t>The Instrument EPS should accept a regulated input voltage of 28 +6/-3 VDC.</w:t>
      </w:r>
    </w:p>
    <w:p w14:paraId="617E3FD4" w14:textId="77777777" w:rsidR="00DB15E9" w:rsidRDefault="0078312E">
      <w:pPr>
        <w:pStyle w:val="ESSPBodyText"/>
      </w:pPr>
      <w:r>
        <w:t>Rationale: Host Spacecraft bus voltages vary by manufacturer, who design electrical systems with the following nominal voltages: 28, 36, 50, 70, and 100 VDC.</w:t>
      </w:r>
      <w:r>
        <w:rPr>
          <w:rFonts w:asciiTheme="majorHAnsi" w:hAnsiTheme="majorHAnsi" w:cstheme="majorHAnsi"/>
        </w:rPr>
        <w:t xml:space="preserve"> </w:t>
      </w:r>
      <w:r>
        <w:t>To maximize both voltage conversion efficiency and available hosting opportunities, the Instrument should accept the lowest nominal voltage provided, which is 28 VDC.</w:t>
      </w:r>
    </w:p>
    <w:p w14:paraId="4363A3DF" w14:textId="77777777" w:rsidR="00DB15E9" w:rsidRDefault="0078312E">
      <w:pPr>
        <w:pStyle w:val="ESSPBodyText"/>
      </w:pPr>
      <w:r>
        <w:t>Note: this guideline may be superseded by Instruments that have payload-specific voltage or power requirements or by “resistance only” power circuits (see below).</w:t>
      </w:r>
    </w:p>
    <w:p w14:paraId="60928584" w14:textId="77777777" w:rsidR="00DB15E9" w:rsidRDefault="0078312E">
      <w:pPr>
        <w:pStyle w:val="Heading3"/>
      </w:pPr>
      <w:bookmarkStart w:id="245" w:name="_Toc471910847"/>
      <w:r>
        <w:t>Resistance power</w:t>
      </w:r>
      <w:bookmarkEnd w:id="245"/>
    </w:p>
    <w:p w14:paraId="7018FB2E" w14:textId="77777777" w:rsidR="00DB15E9" w:rsidRDefault="0078312E">
      <w:pPr>
        <w:pStyle w:val="Requirement"/>
      </w:pPr>
      <w:r>
        <w:t>The Instrument payload primary heater circuit(s), survival heater circuit(s) and other “resistance only” power circuits that are separable subsystems of the Instrument payload EPS should accommodate the Host Spacecraft bus nominal regulated voltage and voltage tolerance.</w:t>
      </w:r>
    </w:p>
    <w:p w14:paraId="096918F0" w14:textId="77777777" w:rsidR="00DB15E9" w:rsidRDefault="0078312E">
      <w:pPr>
        <w:pStyle w:val="ESSPBodyText"/>
      </w:pPr>
      <w:r>
        <w:t>Rationale: Host Spacecraft bus voltages vary by manufacturer, who design electrical systems with the following nominal voltages: 28, 36, 50, 70, and 100 VDC.</w:t>
      </w:r>
      <w:r>
        <w:rPr>
          <w:rFonts w:asciiTheme="majorHAnsi" w:hAnsiTheme="majorHAnsi" w:cstheme="majorHAnsi"/>
        </w:rPr>
        <w:t xml:space="preserve"> </w:t>
      </w:r>
      <w:r>
        <w:t>To minimize the amount of power required to be converted to an input voltage of 28 +6/-3 VDC and to maximize the available hosting opportunities, an Instrument Developer should design “resistance only” power loads to accept the spacecraft bus nominal voltage.</w:t>
      </w:r>
    </w:p>
    <w:p w14:paraId="1FEE612B" w14:textId="77777777" w:rsidR="00DB15E9" w:rsidRDefault="0078312E">
      <w:pPr>
        <w:pStyle w:val="Heading3"/>
      </w:pPr>
      <w:bookmarkStart w:id="246" w:name="_Toc471910848"/>
      <w:r>
        <w:t>Power Bus Interface</w:t>
      </w:r>
      <w:bookmarkEnd w:id="246"/>
    </w:p>
    <w:p w14:paraId="17126805" w14:textId="77777777" w:rsidR="00DB15E9" w:rsidRDefault="0078312E">
      <w:pPr>
        <w:pStyle w:val="Requirement"/>
      </w:pPr>
      <w:r>
        <w:t>The EPS should provide nominal power to each Instrument component via one or both of the Power Buses.</w:t>
      </w:r>
    </w:p>
    <w:p w14:paraId="382D408A" w14:textId="77777777" w:rsidR="00DB15E9" w:rsidRDefault="0078312E">
      <w:pPr>
        <w:pStyle w:val="ESSPNumberedList"/>
      </w:pPr>
      <w:r>
        <w:t>Rationale: The Power Buses supply the electrical power for the Instrument to conduct normal operations.</w:t>
      </w:r>
      <w:r>
        <w:rPr>
          <w:rFonts w:asciiTheme="majorHAnsi" w:hAnsiTheme="majorHAnsi" w:cstheme="majorHAnsi"/>
        </w:rPr>
        <w:t xml:space="preserve"> </w:t>
      </w:r>
      <w:r>
        <w:t>Depending on the load, a component may connect to one or both of the power buses.</w:t>
      </w:r>
    </w:p>
    <w:p w14:paraId="3B11B4DE" w14:textId="77777777" w:rsidR="00DB15E9" w:rsidRDefault="0078312E">
      <w:pPr>
        <w:pStyle w:val="ESSPNumberedList"/>
      </w:pPr>
      <w:r>
        <w:lastRenderedPageBreak/>
        <w:t>Note: The utilization of the redundant power circuits (Power Circuits B) by the Instrument is optional based upon instrument mission classification, reliability, and redundancy requirements.</w:t>
      </w:r>
    </w:p>
    <w:p w14:paraId="31546E1C" w14:textId="77777777" w:rsidR="00DB15E9" w:rsidRDefault="0078312E">
      <w:pPr>
        <w:pStyle w:val="Heading3"/>
      </w:pPr>
      <w:bookmarkStart w:id="247" w:name="_Toc471910849"/>
      <w:r>
        <w:t>Survival Heater Bus Interface</w:t>
      </w:r>
      <w:bookmarkEnd w:id="247"/>
    </w:p>
    <w:p w14:paraId="0F10EA43" w14:textId="77777777" w:rsidR="00DB15E9" w:rsidRDefault="0078312E">
      <w:pPr>
        <w:pStyle w:val="Requirement"/>
      </w:pPr>
      <w:r>
        <w:t>The EPS should provide power to the survival heaters via the Survival Heater Power Bus.</w:t>
      </w:r>
    </w:p>
    <w:p w14:paraId="16F7C7C3" w14:textId="77777777" w:rsidR="00DB15E9" w:rsidRDefault="0078312E">
      <w:pPr>
        <w:pStyle w:val="ESSPNumberedList"/>
      </w:pPr>
      <w:r>
        <w:t>Rationale:</w:t>
      </w:r>
      <w:r>
        <w:rPr>
          <w:rFonts w:asciiTheme="majorHAnsi" w:hAnsiTheme="majorHAnsi" w:cstheme="majorHAnsi"/>
        </w:rPr>
        <w:t xml:space="preserve"> </w:t>
      </w:r>
      <w:r>
        <w:t>The Survival Heaters, which are elements of the Thermal subsystem, require power to heat certain instrument components during off-nominal scenarios when the Power Buses are not fully energized.</w:t>
      </w:r>
      <w:r>
        <w:rPr>
          <w:rFonts w:asciiTheme="majorHAnsi" w:hAnsiTheme="majorHAnsi" w:cstheme="majorHAnsi"/>
        </w:rPr>
        <w:t xml:space="preserve"> </w:t>
      </w:r>
      <w:r>
        <w:t>See separate HPIG Best Practices document for more discussion about survival heaters.</w:t>
      </w:r>
    </w:p>
    <w:p w14:paraId="3AB738E4" w14:textId="77777777" w:rsidR="00DB15E9" w:rsidRDefault="0078312E">
      <w:pPr>
        <w:pStyle w:val="Heading3"/>
      </w:pPr>
      <w:bookmarkStart w:id="248" w:name="_Toc471910850"/>
      <w:r>
        <w:t>Bonding</w:t>
      </w:r>
      <w:bookmarkEnd w:id="248"/>
    </w:p>
    <w:p w14:paraId="220E4D62" w14:textId="77777777" w:rsidR="00DB15E9" w:rsidRDefault="0078312E">
      <w:pPr>
        <w:pStyle w:val="Requirement"/>
      </w:pPr>
      <w:r>
        <w:t>The Instrument bonding should comply with NASA-STD-4003 or equivalent.</w:t>
      </w:r>
    </w:p>
    <w:p w14:paraId="19BB782E" w14:textId="77777777" w:rsidR="00DB15E9" w:rsidRDefault="0078312E">
      <w:pPr>
        <w:pStyle w:val="ESSPBodyText"/>
      </w:pPr>
      <w:r>
        <w:t>Rationale:</w:t>
      </w:r>
      <w:r>
        <w:rPr>
          <w:rFonts w:asciiTheme="majorHAnsi" w:hAnsiTheme="majorHAnsi" w:cstheme="majorHAnsi"/>
        </w:rPr>
        <w:t xml:space="preserve"> </w:t>
      </w:r>
      <w:r>
        <w:t>The instrument bonding practices must be defined to support the instrument design and development process.</w:t>
      </w:r>
      <w:r>
        <w:rPr>
          <w:rFonts w:asciiTheme="majorHAnsi" w:hAnsiTheme="majorHAnsi" w:cstheme="majorHAnsi"/>
        </w:rPr>
        <w:t xml:space="preserve"> </w:t>
      </w:r>
      <w:r>
        <w:t>The implementation of the subject reference will provide consistent and proven design principles and support a successful instrument development, integration to a Host Spacecraft and mission.</w:t>
      </w:r>
    </w:p>
    <w:p w14:paraId="47FE2C71" w14:textId="77777777" w:rsidR="00DB15E9" w:rsidRDefault="0078312E">
      <w:pPr>
        <w:pStyle w:val="Heading3"/>
      </w:pPr>
      <w:bookmarkStart w:id="249" w:name="_Toc471910851"/>
      <w:r>
        <w:t>Mitigation of In-Space Charging Effects</w:t>
      </w:r>
      <w:bookmarkEnd w:id="249"/>
    </w:p>
    <w:p w14:paraId="7CFBB992" w14:textId="77777777" w:rsidR="00DB15E9" w:rsidRDefault="0078312E">
      <w:pPr>
        <w:pStyle w:val="Requirement"/>
      </w:pPr>
      <w:r>
        <w:t>The Instrument should comply with NASA-HDBK-4002A or equivalent to mitigate in-space charging effects.</w:t>
      </w:r>
    </w:p>
    <w:p w14:paraId="600B2407" w14:textId="77777777" w:rsidR="00DB15E9" w:rsidRDefault="0078312E">
      <w:pPr>
        <w:pStyle w:val="ESSPBodyText"/>
      </w:pPr>
      <w:r>
        <w:t>Rationale: The application of the defined reference to the Instrument grounding architecture and bonding practices will address issues and concerns with the in-flight buildup of charge on internal Host Spacecraft components and external surfaces related to space plasmas and high-energy electrons and the consequences of that charge buildup.</w:t>
      </w:r>
    </w:p>
    <w:p w14:paraId="2672027A" w14:textId="77777777" w:rsidR="00DB15E9" w:rsidRDefault="0078312E">
      <w:pPr>
        <w:pStyle w:val="Heading3"/>
      </w:pPr>
      <w:bookmarkStart w:id="250" w:name="_Toc471910852"/>
      <w:r>
        <w:t>Instrument Harnessing</w:t>
      </w:r>
      <w:bookmarkEnd w:id="250"/>
    </w:p>
    <w:p w14:paraId="7ED5C54D" w14:textId="77777777" w:rsidR="00DB15E9" w:rsidRDefault="0078312E">
      <w:pPr>
        <w:pStyle w:val="Requirement"/>
      </w:pPr>
      <w:r>
        <w:t>The Instrument Developer should furnish all Instrument harnessing.</w:t>
      </w:r>
    </w:p>
    <w:p w14:paraId="69FF2A02" w14:textId="77777777" w:rsidR="00DB15E9" w:rsidRDefault="0078312E">
      <w:pPr>
        <w:pStyle w:val="ESSPBodyText"/>
      </w:pPr>
      <w:r>
        <w:t>Rationale: The Instrument Developer is responsible for all harnesses that are constrained by the boundaries of the Instrument as a single and unique system.</w:t>
      </w:r>
      <w:r>
        <w:rPr>
          <w:rFonts w:asciiTheme="majorHAnsi" w:hAnsiTheme="majorHAnsi" w:cstheme="majorHAnsi"/>
        </w:rPr>
        <w:t xml:space="preserve"> </w:t>
      </w:r>
      <w:r>
        <w:t>This refers only to those harnesses that are interconnections between components (internal and external) of the Instrument system and excludes any harnesses interfacing with the Host Spacecraft or components that are not part of the Instrument system.</w:t>
      </w:r>
    </w:p>
    <w:p w14:paraId="7CFB857C" w14:textId="77777777" w:rsidR="00DB15E9" w:rsidRDefault="0078312E">
      <w:pPr>
        <w:pStyle w:val="Heading4"/>
      </w:pPr>
      <w:bookmarkStart w:id="251" w:name="_Toc471910853"/>
      <w:r>
        <w:t>Harness Documentation</w:t>
      </w:r>
      <w:bookmarkEnd w:id="251"/>
    </w:p>
    <w:p w14:paraId="583CE26D" w14:textId="77777777" w:rsidR="00DB15E9" w:rsidRDefault="0078312E">
      <w:pPr>
        <w:pStyle w:val="Requirement"/>
      </w:pPr>
      <w:r>
        <w:t>The EICD will document all harnesses, harness construction, pin-to-pin wiring, cable type, connectors, ground straps, and associated service loops.</w:t>
      </w:r>
    </w:p>
    <w:p w14:paraId="32C75D85" w14:textId="77777777" w:rsidR="00DB15E9" w:rsidRDefault="0078312E">
      <w:pPr>
        <w:pStyle w:val="ESSPBodyText"/>
      </w:pPr>
      <w:r>
        <w:t>Rationale: The EICD documents agreements made between the Host Spacecraft Manufacturer and Instrument Developer regarding harness hardware and construction.</w:t>
      </w:r>
    </w:p>
    <w:p w14:paraId="255B7CB4" w14:textId="77777777" w:rsidR="00DB15E9" w:rsidRDefault="0078312E">
      <w:pPr>
        <w:pStyle w:val="Heading3"/>
      </w:pPr>
      <w:bookmarkStart w:id="252" w:name="_Toc471910854"/>
      <w:r>
        <w:t>EPS Accommodation</w:t>
      </w:r>
      <w:bookmarkEnd w:id="252"/>
    </w:p>
    <w:p w14:paraId="41CBC082" w14:textId="77777777" w:rsidR="00DB15E9" w:rsidRDefault="0078312E">
      <w:pPr>
        <w:pStyle w:val="ESSPBodyText"/>
      </w:pPr>
      <w:r>
        <w:t>This section specifies the characteristics, connections, and control of the Host Spacecraft power provided to each Instrument as well as the requirements that each Instrument must meet at this interface.</w:t>
      </w:r>
      <w:r>
        <w:rPr>
          <w:rFonts w:asciiTheme="majorHAnsi" w:hAnsiTheme="majorHAnsi" w:cstheme="majorHAnsi"/>
        </w:rPr>
        <w:t xml:space="preserve"> </w:t>
      </w:r>
      <w:r>
        <w:t>This section applies equally to the Power Buses and the Survival Heater Power Buses.</w:t>
      </w:r>
    </w:p>
    <w:p w14:paraId="40A52121" w14:textId="77777777" w:rsidR="00DB15E9" w:rsidRDefault="0078312E">
      <w:pPr>
        <w:pStyle w:val="Heading4"/>
      </w:pPr>
      <w:bookmarkStart w:id="253" w:name="_Toc471910855"/>
      <w:r>
        <w:lastRenderedPageBreak/>
        <w:t>Definitions:</w:t>
      </w:r>
      <w:bookmarkEnd w:id="253"/>
    </w:p>
    <w:p w14:paraId="19F4CA07" w14:textId="77777777" w:rsidR="00DB15E9" w:rsidRDefault="0078312E">
      <w:pPr>
        <w:pStyle w:val="ESSPBodyText"/>
        <w:rPr>
          <w:u w:val="single"/>
        </w:rPr>
      </w:pPr>
      <w:r>
        <w:rPr>
          <w:u w:val="single"/>
        </w:rPr>
        <w:t>Average Power Consumption</w:t>
      </w:r>
      <w:r>
        <w:t>: the total power consumed averaged over any 180-minute period.</w:t>
      </w:r>
    </w:p>
    <w:p w14:paraId="5EF73C9E" w14:textId="77777777" w:rsidR="00DB15E9" w:rsidRDefault="0078312E">
      <w:pPr>
        <w:pStyle w:val="ESSPBodyText"/>
      </w:pPr>
      <w:r>
        <w:rPr>
          <w:u w:val="single"/>
        </w:rPr>
        <w:t>Peak Power Consumption</w:t>
      </w:r>
      <w:r>
        <w:t>: the maximum power consumed averaged over any 10 ms period.</w:t>
      </w:r>
    </w:p>
    <w:p w14:paraId="4DDD5D94" w14:textId="77777777" w:rsidR="00DB15E9" w:rsidRDefault="0078312E">
      <w:pPr>
        <w:pStyle w:val="Heading4"/>
      </w:pPr>
      <w:bookmarkStart w:id="254" w:name="_Toc471910856"/>
      <w:r>
        <w:t>Instrument Power Harness</w:t>
      </w:r>
      <w:bookmarkEnd w:id="254"/>
    </w:p>
    <w:p w14:paraId="405BCAFC" w14:textId="77777777" w:rsidR="00DB15E9" w:rsidRDefault="0078312E">
      <w:pPr>
        <w:pStyle w:val="Requirement"/>
      </w:pPr>
      <w:r>
        <w:t>Instrument power harnesses should be sized to the largest possible current value as specified by the peak Instrument power level and both Host Spacecraft and Instrument overcurrent protection devices.</w:t>
      </w:r>
    </w:p>
    <w:p w14:paraId="1C8705AF" w14:textId="77777777" w:rsidR="00DB15E9" w:rsidRDefault="0078312E">
      <w:pPr>
        <w:pStyle w:val="ESSPBodyText"/>
      </w:pPr>
      <w:r>
        <w:t>Rationale:</w:t>
      </w:r>
      <w:r>
        <w:rPr>
          <w:rFonts w:asciiTheme="majorHAnsi" w:hAnsiTheme="majorHAnsi" w:cstheme="majorHAnsi"/>
        </w:rPr>
        <w:t xml:space="preserve"> </w:t>
      </w:r>
      <w:r>
        <w:t>Sizing all components of the Instrument power harness, such as the wires, connectors, sockets, and pins to the peak power level required by the Instrument and Host Spacecraft prevents damage to the power harnessing.</w:t>
      </w:r>
    </w:p>
    <w:p w14:paraId="02F1BFC7" w14:textId="77777777" w:rsidR="00DB15E9" w:rsidRDefault="0078312E">
      <w:pPr>
        <w:pStyle w:val="Heading4"/>
      </w:pPr>
      <w:bookmarkStart w:id="255" w:name="_Toc471910857"/>
      <w:r>
        <w:t>Allocation of Instrument Power</w:t>
      </w:r>
      <w:bookmarkEnd w:id="255"/>
    </w:p>
    <w:p w14:paraId="0F56E76C" w14:textId="77777777" w:rsidR="00DB15E9" w:rsidRDefault="0078312E">
      <w:pPr>
        <w:pStyle w:val="Requirement"/>
      </w:pPr>
      <w:r>
        <w:t xml:space="preserve">The EPS should draw no more power from the Host Spacecraft in each Instrument mode than defined in </w:t>
      </w:r>
      <w:r>
        <w:rPr>
          <w:rStyle w:val="ESSPBodyTextChar"/>
        </w:rPr>
        <w:t>Table 3-2</w:t>
      </w:r>
      <w:r>
        <w:t>.</w:t>
      </w:r>
    </w:p>
    <w:p w14:paraId="13F8E192" w14:textId="77777777" w:rsidR="00DB15E9" w:rsidRDefault="0078312E">
      <w:pPr>
        <w:pStyle w:val="ESSPBodyText"/>
      </w:pPr>
      <w:r>
        <w:t>Rationale:</w:t>
      </w:r>
      <w:r>
        <w:rPr>
          <w:rFonts w:asciiTheme="majorHAnsi" w:hAnsiTheme="majorHAnsi" w:cstheme="majorHAnsi"/>
        </w:rPr>
        <w:t xml:space="preserve"> </w:t>
      </w:r>
      <w:r>
        <w:t xml:space="preserve">The guideline defines power allocation for the </w:t>
      </w:r>
      <w:r>
        <w:rPr>
          <w:smallCaps/>
        </w:rPr>
        <w:t>Operation</w:t>
      </w:r>
      <w:r>
        <w:t xml:space="preserve"> mode.</w:t>
      </w:r>
      <w:r>
        <w:rPr>
          <w:rFonts w:asciiTheme="majorHAnsi" w:hAnsiTheme="majorHAnsi" w:cstheme="majorHAnsi"/>
        </w:rPr>
        <w:t xml:space="preserve"> </w:t>
      </w:r>
      <w:r>
        <w:t xml:space="preserve">The assumption that the instrument requires 100% of the power required in the </w:t>
      </w:r>
      <w:r>
        <w:rPr>
          <w:smallCaps/>
        </w:rPr>
        <w:t>Operation</w:t>
      </w:r>
      <w:r>
        <w:t xml:space="preserve"> mode defines the power allocation for the </w:t>
      </w:r>
      <w:r>
        <w:rPr>
          <w:smallCaps/>
        </w:rPr>
        <w:t>Activation</w:t>
      </w:r>
      <w:r>
        <w:t xml:space="preserve"> mode.</w:t>
      </w:r>
      <w:r>
        <w:rPr>
          <w:rFonts w:asciiTheme="majorHAnsi" w:hAnsiTheme="majorHAnsi" w:cstheme="majorHAnsi"/>
        </w:rPr>
        <w:t xml:space="preserve"> </w:t>
      </w:r>
      <w:r>
        <w:t xml:space="preserve">The assumption that the instrument requires 50% of the power required in the </w:t>
      </w:r>
      <w:r>
        <w:rPr>
          <w:smallCaps/>
        </w:rPr>
        <w:t>Operation</w:t>
      </w:r>
      <w:r>
        <w:t xml:space="preserve"> mode defines the power allocation for the </w:t>
      </w:r>
      <w:r>
        <w:rPr>
          <w:smallCaps/>
        </w:rPr>
        <w:t>Safe</w:t>
      </w:r>
      <w:r>
        <w:t xml:space="preserve"> mode.</w:t>
      </w:r>
      <w:r>
        <w:rPr>
          <w:rFonts w:asciiTheme="majorHAnsi" w:hAnsiTheme="majorHAnsi" w:cstheme="majorHAnsi"/>
        </w:rPr>
        <w:t xml:space="preserve"> </w:t>
      </w:r>
      <w:r>
        <w:t xml:space="preserve">The assumption that the instrument only requires survival heater power defines the power allocation for the </w:t>
      </w:r>
      <w:r>
        <w:rPr>
          <w:smallCaps/>
        </w:rPr>
        <w:t>Survival</w:t>
      </w:r>
      <w:r>
        <w:t xml:space="preserve"> mode.</w:t>
      </w:r>
    </w:p>
    <w:p w14:paraId="4DF26585" w14:textId="77777777" w:rsidR="00DB15E9" w:rsidRDefault="0078312E">
      <w:pPr>
        <w:pStyle w:val="ESSPBodyText"/>
      </w:pPr>
      <w:r>
        <w:t>Note: Instrument and Instrument survival heater power should not exceed the defined power allocation at end-of-life at worst-case low bus voltage.</w:t>
      </w:r>
    </w:p>
    <w:p w14:paraId="672D8418" w14:textId="77777777" w:rsidR="00DB15E9" w:rsidRDefault="0078312E">
      <w:pPr>
        <w:pStyle w:val="ESSPBodyText"/>
      </w:pPr>
      <w:r>
        <w:t xml:space="preserve">Note: The instrument modes are notional and based upon an example provided in </w:t>
      </w:r>
      <w:r>
        <w:rPr>
          <w:rStyle w:val="ESSPBodyTextChar"/>
        </w:rPr>
        <w:fldChar w:fldCharType="begin"/>
      </w:r>
      <w:r>
        <w:rPr>
          <w:rStyle w:val="ESSPBodyTextChar"/>
        </w:rPr>
        <w:instrText xml:space="preserve"> REF _Ref296351496 \r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Appendix D</w:t>
      </w:r>
      <w:r>
        <w:rPr>
          <w:rStyle w:val="ESSPBodyTextChar"/>
        </w:rPr>
        <w:fldChar w:fldCharType="end"/>
      </w:r>
      <w:r>
        <w:t>.</w:t>
      </w:r>
    </w:p>
    <w:p w14:paraId="58317252" w14:textId="77777777" w:rsidR="00DB15E9" w:rsidRDefault="0078312E">
      <w:pPr>
        <w:pStyle w:val="ESSPTableCaption"/>
      </w:pPr>
      <w:bookmarkStart w:id="256" w:name="_Toc453056575"/>
      <w:bookmarkStart w:id="257" w:name="_Toc471971562"/>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2</w:t>
      </w:r>
      <w:r w:rsidR="00BA5284">
        <w:rPr>
          <w:noProof/>
        </w:rPr>
        <w:fldChar w:fldCharType="end"/>
      </w:r>
      <w:r>
        <w:t>: Instrument Power Allocation</w:t>
      </w:r>
      <w:bookmarkEnd w:id="256"/>
      <w:bookmarkEnd w:id="257"/>
    </w:p>
    <w:tbl>
      <w:tblPr>
        <w:tblStyle w:val="TableGrid8"/>
        <w:tblW w:w="4590" w:type="dxa"/>
        <w:jc w:val="center"/>
        <w:tblLook w:val="06A0" w:firstRow="1" w:lastRow="0" w:firstColumn="1" w:lastColumn="0" w:noHBand="1" w:noVBand="1"/>
      </w:tblPr>
      <w:tblGrid>
        <w:gridCol w:w="1861"/>
        <w:gridCol w:w="2729"/>
      </w:tblGrid>
      <w:tr w:rsidR="00DB15E9" w14:paraId="68EE2460" w14:textId="77777777" w:rsidTr="00DB15E9">
        <w:trPr>
          <w:cnfStyle w:val="100000000000" w:firstRow="1" w:lastRow="0" w:firstColumn="0" w:lastColumn="0" w:oddVBand="0" w:evenVBand="0" w:oddHBand="0" w:evenHBand="0" w:firstRowFirstColumn="0" w:firstRowLastColumn="0" w:lastRowFirstColumn="0" w:lastRowLastColumn="0"/>
          <w:trHeight w:val="576"/>
          <w:jc w:val="center"/>
        </w:trPr>
        <w:tc>
          <w:tcPr>
            <w:tcW w:w="1861" w:type="dxa"/>
          </w:tcPr>
          <w:p w14:paraId="7BFB9950" w14:textId="77777777" w:rsidR="00DB15E9" w:rsidRDefault="0078312E">
            <w:pPr>
              <w:pStyle w:val="ESSPTableText"/>
            </w:pPr>
            <w:r>
              <w:t>Mode</w:t>
            </w:r>
          </w:p>
        </w:tc>
        <w:tc>
          <w:tcPr>
            <w:tcW w:w="2729" w:type="dxa"/>
          </w:tcPr>
          <w:p w14:paraId="7E3596FB" w14:textId="77777777" w:rsidR="00DB15E9" w:rsidRDefault="0078312E">
            <w:pPr>
              <w:pStyle w:val="ESSPTableText"/>
              <w:rPr>
                <w:b w:val="0"/>
                <w:bCs w:val="0"/>
              </w:rPr>
            </w:pPr>
            <w:r>
              <w:t>GEO</w:t>
            </w:r>
            <w:r>
              <w:rPr>
                <w:b w:val="0"/>
                <w:bCs w:val="0"/>
              </w:rPr>
              <w:t xml:space="preserve"> </w:t>
            </w:r>
            <w:r>
              <w:rPr>
                <w:b w:val="0"/>
                <w:bCs w:val="0"/>
              </w:rPr>
              <w:br/>
            </w:r>
            <w:r>
              <w:t>Average (W)</w:t>
            </w:r>
          </w:p>
        </w:tc>
      </w:tr>
      <w:tr w:rsidR="00DB15E9" w14:paraId="18DE1EC2" w14:textId="77777777" w:rsidTr="00DB15E9">
        <w:trPr>
          <w:trHeight w:val="288"/>
          <w:jc w:val="center"/>
        </w:trPr>
        <w:tc>
          <w:tcPr>
            <w:tcW w:w="1861" w:type="dxa"/>
          </w:tcPr>
          <w:p w14:paraId="12F66732" w14:textId="77777777" w:rsidR="00DB15E9" w:rsidRDefault="0078312E">
            <w:pPr>
              <w:pStyle w:val="ESSPTableText"/>
            </w:pPr>
            <w:r>
              <w:t>Off/ Survival</w:t>
            </w:r>
          </w:p>
        </w:tc>
        <w:tc>
          <w:tcPr>
            <w:tcW w:w="2729" w:type="dxa"/>
          </w:tcPr>
          <w:p w14:paraId="11E1A75C" w14:textId="77777777" w:rsidR="00DB15E9" w:rsidRDefault="0078312E">
            <w:pPr>
              <w:pStyle w:val="ESSPTableText"/>
            </w:pPr>
            <w:r>
              <w:t>0/90</w:t>
            </w:r>
          </w:p>
        </w:tc>
      </w:tr>
      <w:tr w:rsidR="00DB15E9" w14:paraId="79E37A5A" w14:textId="77777777" w:rsidTr="00DB15E9">
        <w:trPr>
          <w:trHeight w:val="288"/>
          <w:jc w:val="center"/>
        </w:trPr>
        <w:tc>
          <w:tcPr>
            <w:tcW w:w="1861" w:type="dxa"/>
          </w:tcPr>
          <w:p w14:paraId="1C4EC402" w14:textId="77777777" w:rsidR="00DB15E9" w:rsidRDefault="0078312E">
            <w:pPr>
              <w:pStyle w:val="ESSPTableText"/>
            </w:pPr>
            <w:r>
              <w:t>Activation</w:t>
            </w:r>
          </w:p>
        </w:tc>
        <w:tc>
          <w:tcPr>
            <w:tcW w:w="2729" w:type="dxa"/>
          </w:tcPr>
          <w:p w14:paraId="14C237CD" w14:textId="77777777" w:rsidR="00DB15E9" w:rsidRDefault="0078312E">
            <w:pPr>
              <w:pStyle w:val="ESSPTableText"/>
            </w:pPr>
            <w:r>
              <w:t>300</w:t>
            </w:r>
          </w:p>
        </w:tc>
      </w:tr>
      <w:tr w:rsidR="00DB15E9" w14:paraId="748D1ABB" w14:textId="77777777" w:rsidTr="00DB15E9">
        <w:trPr>
          <w:trHeight w:val="288"/>
          <w:jc w:val="center"/>
        </w:trPr>
        <w:tc>
          <w:tcPr>
            <w:tcW w:w="1861" w:type="dxa"/>
          </w:tcPr>
          <w:p w14:paraId="26D9C875" w14:textId="77777777" w:rsidR="00DB15E9" w:rsidRDefault="0078312E">
            <w:pPr>
              <w:pStyle w:val="ESSPTableText"/>
            </w:pPr>
            <w:r>
              <w:t>Safe</w:t>
            </w:r>
          </w:p>
        </w:tc>
        <w:tc>
          <w:tcPr>
            <w:tcW w:w="2729" w:type="dxa"/>
          </w:tcPr>
          <w:p w14:paraId="0BEBEA6D" w14:textId="77777777" w:rsidR="00DB15E9" w:rsidRDefault="0078312E">
            <w:pPr>
              <w:pStyle w:val="ESSPTableText"/>
            </w:pPr>
            <w:r>
              <w:t>150</w:t>
            </w:r>
          </w:p>
        </w:tc>
      </w:tr>
      <w:tr w:rsidR="00DB15E9" w14:paraId="038EA539" w14:textId="77777777" w:rsidTr="00DB15E9">
        <w:trPr>
          <w:trHeight w:val="288"/>
          <w:jc w:val="center"/>
        </w:trPr>
        <w:tc>
          <w:tcPr>
            <w:tcW w:w="1861" w:type="dxa"/>
          </w:tcPr>
          <w:p w14:paraId="64476E8B" w14:textId="77777777" w:rsidR="00DB15E9" w:rsidRDefault="0078312E">
            <w:pPr>
              <w:pStyle w:val="ESSPTableText"/>
            </w:pPr>
            <w:r>
              <w:t>Operation</w:t>
            </w:r>
          </w:p>
        </w:tc>
        <w:tc>
          <w:tcPr>
            <w:tcW w:w="2729" w:type="dxa"/>
          </w:tcPr>
          <w:p w14:paraId="2368B904" w14:textId="77777777" w:rsidR="00DB15E9" w:rsidRDefault="0078312E">
            <w:pPr>
              <w:pStyle w:val="ESSPTableText"/>
            </w:pPr>
            <w:r>
              <w:t>300</w:t>
            </w:r>
          </w:p>
        </w:tc>
      </w:tr>
    </w:tbl>
    <w:p w14:paraId="12653C39" w14:textId="77777777" w:rsidR="00DB15E9" w:rsidRDefault="0078312E">
      <w:pPr>
        <w:pStyle w:val="Heading4"/>
      </w:pPr>
      <w:bookmarkStart w:id="258" w:name="_Toc471910858"/>
      <w:r>
        <w:t>Unannounced Removal of Power</w:t>
      </w:r>
      <w:bookmarkEnd w:id="258"/>
    </w:p>
    <w:p w14:paraId="50C4193E" w14:textId="77777777" w:rsidR="00DB15E9" w:rsidRDefault="0078312E">
      <w:pPr>
        <w:pStyle w:val="Requirement"/>
      </w:pPr>
      <w:r>
        <w:t>The Instrument should function according to its operational specifications when nominal power is restored following an unannounced removal of power.</w:t>
      </w:r>
    </w:p>
    <w:p w14:paraId="0E0944C1" w14:textId="77777777" w:rsidR="00DB15E9" w:rsidRDefault="0078312E">
      <w:pPr>
        <w:pStyle w:val="ESSPBodyText"/>
      </w:pPr>
      <w:r>
        <w:t>Rationale: In the event of a Host Spacecraft electrical malfunction, the instrument would likely be one of the first electrical loads to be shed either in a controlled or uncontrolled manner.</w:t>
      </w:r>
    </w:p>
    <w:p w14:paraId="149F62CD" w14:textId="77777777" w:rsidR="00DB15E9" w:rsidRDefault="0078312E">
      <w:pPr>
        <w:pStyle w:val="Heading4"/>
      </w:pPr>
      <w:bookmarkStart w:id="259" w:name="_Toc471910859"/>
      <w:r>
        <w:t>Reversal of Power</w:t>
      </w:r>
      <w:bookmarkEnd w:id="259"/>
    </w:p>
    <w:p w14:paraId="419E1F46" w14:textId="77777777" w:rsidR="00DB15E9" w:rsidRDefault="0078312E">
      <w:pPr>
        <w:pStyle w:val="Requirement"/>
      </w:pPr>
      <w:r>
        <w:t>The Instrument should function according to its operational specifications when proper polarity is restored following a reversal of power (positive) and ground (negative).</w:t>
      </w:r>
    </w:p>
    <w:p w14:paraId="6A22A13C" w14:textId="77777777" w:rsidR="00DB15E9" w:rsidRDefault="0078312E">
      <w:pPr>
        <w:pStyle w:val="ESSPBodyText"/>
      </w:pPr>
      <w:r>
        <w:lastRenderedPageBreak/>
        <w:t>Rationale: This defines the ability of an instrument to survive a power reversal anomaly which could accidentally occurs during assembly, integration, and test (AI&amp;T).</w:t>
      </w:r>
    </w:p>
    <w:p w14:paraId="4D906EB6" w14:textId="77777777" w:rsidR="00DB15E9" w:rsidRDefault="0078312E">
      <w:pPr>
        <w:pStyle w:val="Heading4"/>
      </w:pPr>
      <w:bookmarkStart w:id="260" w:name="_Toc471910860"/>
      <w:r>
        <w:t>Power-Up and Power-Down</w:t>
      </w:r>
      <w:bookmarkEnd w:id="260"/>
    </w:p>
    <w:p w14:paraId="38F415E2" w14:textId="77777777" w:rsidR="00DB15E9" w:rsidRDefault="0078312E">
      <w:pPr>
        <w:pStyle w:val="Requirement"/>
      </w:pPr>
      <w:r>
        <w:t>The Instrument should function according to its operational specifications when the Host Spacecraft changes the voltage across the Operational Bus from +28 to 0 VDC or from 0 to +28 VDC as a step function.</w:t>
      </w:r>
    </w:p>
    <w:p w14:paraId="06F849CF" w14:textId="77777777" w:rsidR="00DB15E9" w:rsidRDefault="0078312E">
      <w:pPr>
        <w:pStyle w:val="ESSPBodyText"/>
      </w:pPr>
      <w:r>
        <w:t>Rationale: A necessary practice to preclude instrument damage/degradation.</w:t>
      </w:r>
      <w:r>
        <w:rPr>
          <w:rFonts w:asciiTheme="majorHAnsi" w:hAnsiTheme="majorHAnsi" w:cstheme="majorHAnsi"/>
        </w:rPr>
        <w:t xml:space="preserve"> </w:t>
      </w:r>
      <w:r>
        <w:t xml:space="preserve">Ideally, the Instrument should power up in the minimum power draw state of the </w:t>
      </w:r>
      <w:r>
        <w:rPr>
          <w:smallCaps/>
        </w:rPr>
        <w:t>Off/Survival</w:t>
      </w:r>
      <w:r>
        <w:t xml:space="preserve"> Mode and then transition into the minimum power draw state of the </w:t>
      </w:r>
      <w:r>
        <w:rPr>
          <w:smallCaps/>
        </w:rPr>
        <w:t>Initialization</w:t>
      </w:r>
      <w:r>
        <w:t xml:space="preserve"> Mode.</w:t>
      </w:r>
      <w:r>
        <w:rPr>
          <w:rFonts w:asciiTheme="majorHAnsi" w:hAnsiTheme="majorHAnsi" w:cstheme="majorHAnsi"/>
        </w:rPr>
        <w:t xml:space="preserve"> </w:t>
      </w:r>
      <w:r>
        <w:t>The +28 VDC is inclusive of nominal voltage transients of ±3 VDC for GEO Instruments.</w:t>
      </w:r>
    </w:p>
    <w:p w14:paraId="7E344158" w14:textId="77777777" w:rsidR="00DB15E9" w:rsidRDefault="0078312E">
      <w:pPr>
        <w:pStyle w:val="Heading4"/>
      </w:pPr>
      <w:bookmarkStart w:id="261" w:name="_Toc471910861"/>
      <w:r>
        <w:t>Abnormal Operation Steady-State Voltage Limits</w:t>
      </w:r>
      <w:bookmarkEnd w:id="261"/>
    </w:p>
    <w:p w14:paraId="35BBC12F" w14:textId="77777777" w:rsidR="00DB15E9" w:rsidRDefault="0078312E">
      <w:pPr>
        <w:pStyle w:val="Requirement"/>
      </w:pPr>
      <w:r>
        <w:t>The Instrument should function according to its operational specifications when the Host Spacecraft restores nominal power following exposure to steady-state voltages from 0 to 50 VDC.</w:t>
      </w:r>
    </w:p>
    <w:p w14:paraId="7EEEF76B" w14:textId="77777777" w:rsidR="00DB15E9" w:rsidRDefault="0078312E">
      <w:pPr>
        <w:pStyle w:val="ESSPBodyText"/>
      </w:pPr>
      <w:r>
        <w:t>Rationale: Defines a verifiable (testable) limit for off-nominal input voltage testing of an instrument.</w:t>
      </w:r>
    </w:p>
    <w:p w14:paraId="3096D1C9" w14:textId="77777777" w:rsidR="00DB15E9" w:rsidRDefault="0078312E">
      <w:pPr>
        <w:pStyle w:val="Heading2"/>
      </w:pPr>
      <w:bookmarkStart w:id="262" w:name="_Toc471910862"/>
      <w:r>
        <w:t>Mechanical Interface</w:t>
      </w:r>
      <w:bookmarkEnd w:id="262"/>
      <w:r>
        <w:t xml:space="preserve"> </w:t>
      </w:r>
    </w:p>
    <w:p w14:paraId="24FAE70F" w14:textId="77777777" w:rsidR="00DB15E9" w:rsidRDefault="0078312E">
      <w:pPr>
        <w:pStyle w:val="Heading3"/>
      </w:pPr>
      <w:bookmarkStart w:id="263" w:name="_Toc471910863"/>
      <w:r>
        <w:t>Assumptions</w:t>
      </w:r>
      <w:bookmarkEnd w:id="263"/>
    </w:p>
    <w:p w14:paraId="487EF886" w14:textId="77777777" w:rsidR="00DB15E9" w:rsidRDefault="0078312E">
      <w:pPr>
        <w:pStyle w:val="ESSPBodyText"/>
      </w:pPr>
      <w:r>
        <w:t>The HPIG mechanical interfaces assume the following regarding the Host Spacecraft:</w:t>
      </w:r>
    </w:p>
    <w:p w14:paraId="4A1110DC" w14:textId="77777777" w:rsidR="00DB15E9" w:rsidRDefault="0078312E">
      <w:pPr>
        <w:pStyle w:val="ESSPNumberedList"/>
        <w:numPr>
          <w:ilvl w:val="0"/>
          <w:numId w:val="18"/>
        </w:numPr>
      </w:pPr>
      <w:r>
        <w:t>The Host Spacecraft Manufacturer/Systems Integrator and the Instrument Developer will negotiate detailed parameters of the mechanical interface.</w:t>
      </w:r>
      <w:r>
        <w:rPr>
          <w:rFonts w:asciiTheme="majorHAnsi" w:hAnsiTheme="majorHAnsi" w:cstheme="majorHAnsi"/>
        </w:rPr>
        <w:t xml:space="preserve"> </w:t>
      </w:r>
      <w:r>
        <w:t>The Mechanical Interface Control Document (MICD) will record those parameters and decisions.</w:t>
      </w:r>
    </w:p>
    <w:p w14:paraId="0BC09C25" w14:textId="77777777" w:rsidR="00DB15E9" w:rsidRDefault="0078312E">
      <w:pPr>
        <w:pStyle w:val="ESSPNumberedList"/>
      </w:pPr>
      <w:r>
        <w:t>Th</w:t>
      </w:r>
      <w:r>
        <w:rPr>
          <w:color w:val="000000" w:themeColor="text1"/>
        </w:rPr>
        <w:t>e Host Spacecraft will accommodate fields-of-view (FOV) that equal or exceed the Instrument science and radiator requirements.</w:t>
      </w:r>
      <w:r>
        <w:t xml:space="preserve"> (It should be noted that FOV requests are best accommodated during the initial configuration of the host.</w:t>
      </w:r>
      <w:r>
        <w:rPr>
          <w:rFonts w:asciiTheme="majorHAnsi" w:hAnsiTheme="majorHAnsi" w:cstheme="majorHAnsi"/>
        </w:rPr>
        <w:t xml:space="preserve"> </w:t>
      </w:r>
      <w:r>
        <w:t>Therefore, FOV may be a limiting factor in determining which host spacecraft is a viable candidate for your payload.)</w:t>
      </w:r>
    </w:p>
    <w:p w14:paraId="7732F135" w14:textId="77777777" w:rsidR="00DB15E9" w:rsidRDefault="0078312E">
      <w:pPr>
        <w:pStyle w:val="ESSPNumberedList"/>
      </w:pPr>
      <w:r>
        <w:rPr>
          <w:color w:val="000000" w:themeColor="text1"/>
        </w:rPr>
        <w:t xml:space="preserve">The Host Spacecraft Manufacturer </w:t>
      </w:r>
      <w:r>
        <w:t>will furnish all instrument mounting fasteners.</w:t>
      </w:r>
    </w:p>
    <w:p w14:paraId="785C802D" w14:textId="77777777" w:rsidR="00DB15E9" w:rsidRDefault="0078312E">
      <w:pPr>
        <w:pStyle w:val="ESSPNumberedList"/>
      </w:pPr>
      <w:r>
        <w:t>The Host Spacecraft Manufacturer will provide a glint analysis that demonstrates that no reflected light impinges onto the Instrument FOV, if requested by the Instrument Developer.</w:t>
      </w:r>
    </w:p>
    <w:p w14:paraId="0FAE3D5B" w14:textId="77777777" w:rsidR="00DB15E9" w:rsidRDefault="0078312E">
      <w:pPr>
        <w:pStyle w:val="ESSPNumberedList"/>
      </w:pPr>
      <w:r>
        <w:t>The Host Spacecraft Manufacturer will furnish the combined structural dynamics analysis results to the Instrument Developer.</w:t>
      </w:r>
    </w:p>
    <w:p w14:paraId="2A747B0A" w14:textId="77777777" w:rsidR="00DB15E9" w:rsidRDefault="0078312E">
      <w:pPr>
        <w:pStyle w:val="Heading3"/>
      </w:pPr>
      <w:bookmarkStart w:id="264" w:name="_Toc471910864"/>
      <w:r>
        <w:t>Mechanical Interface</w:t>
      </w:r>
      <w:bookmarkEnd w:id="264"/>
      <w:r>
        <w:t xml:space="preserve"> </w:t>
      </w:r>
    </w:p>
    <w:p w14:paraId="51A10433" w14:textId="77777777" w:rsidR="00DB15E9" w:rsidRDefault="0078312E">
      <w:pPr>
        <w:pStyle w:val="Requirement"/>
      </w:pPr>
      <w:r>
        <w:t>The Instrument should be capable of fully acquiring science data when directly mounted to the Host Spacecraft nadir deck.</w:t>
      </w:r>
    </w:p>
    <w:p w14:paraId="292B0301" w14:textId="77777777" w:rsidR="00DB15E9" w:rsidRDefault="0078312E">
      <w:pPr>
        <w:pStyle w:val="ESSPBodyText"/>
      </w:pPr>
      <w:r>
        <w:t xml:space="preserve">Rationale: Assessments of the responses to the </w:t>
      </w:r>
      <w:r>
        <w:rPr>
          <w:i/>
        </w:rPr>
        <w:t>CII RFI for GEO Hosted Payload Opportunities</w:t>
      </w:r>
      <w:r>
        <w:t xml:space="preserve"> indicate nadir-deck mounting of hosted payloads can be accommodated.</w:t>
      </w:r>
      <w:r>
        <w:rPr>
          <w:rFonts w:asciiTheme="majorHAnsi" w:hAnsiTheme="majorHAnsi" w:cstheme="majorHAnsi"/>
        </w:rPr>
        <w:t xml:space="preserve"> </w:t>
      </w:r>
      <w:r>
        <w:t xml:space="preserve">Alternative mechanical </w:t>
      </w:r>
      <w:r>
        <w:lastRenderedPageBreak/>
        <w:t xml:space="preserve">interface locations or kinematic mounts are not prohibited by this guidance but may increase interface complexity. </w:t>
      </w:r>
    </w:p>
    <w:p w14:paraId="721EF51B" w14:textId="77777777" w:rsidR="00DB15E9" w:rsidRDefault="0078312E">
      <w:pPr>
        <w:pStyle w:val="Heading3"/>
      </w:pPr>
      <w:bookmarkStart w:id="265" w:name="_Toc471910865"/>
      <w:r>
        <w:t>Accommodation</w:t>
      </w:r>
      <w:bookmarkEnd w:id="265"/>
    </w:p>
    <w:p w14:paraId="28AE1268" w14:textId="77777777" w:rsidR="00DB15E9" w:rsidRDefault="0078312E">
      <w:pPr>
        <w:autoSpaceDE w:val="0"/>
        <w:autoSpaceDN w:val="0"/>
        <w:adjustRightInd w:val="0"/>
        <w:spacing w:after="240"/>
        <w:rPr>
          <w:rFonts w:ascii="Times New Roman" w:hAnsi="Times New Roman"/>
          <w:b/>
          <w:szCs w:val="24"/>
        </w:rPr>
      </w:pPr>
      <w:r>
        <w:rPr>
          <w:rFonts w:ascii="Times New Roman" w:hAnsi="Times New Roman"/>
          <w:b/>
          <w:szCs w:val="24"/>
        </w:rPr>
        <w:t>The Instrument mass should be less than or equal to 150 kg.</w:t>
      </w:r>
    </w:p>
    <w:p w14:paraId="3904F487" w14:textId="77777777" w:rsidR="00DB15E9" w:rsidRDefault="0078312E">
      <w:pPr>
        <w:pStyle w:val="Heading4"/>
      </w:pPr>
      <w:bookmarkStart w:id="266" w:name="_Toc471910866"/>
      <w:r>
        <w:t>Mass</w:t>
      </w:r>
      <w:bookmarkEnd w:id="266"/>
    </w:p>
    <w:p w14:paraId="0E25A33B" w14:textId="77777777" w:rsidR="00DB15E9" w:rsidRDefault="0078312E">
      <w:r>
        <w:rPr>
          <w:rFonts w:ascii="Times New Roman" w:hAnsi="Times New Roman"/>
          <w:szCs w:val="24"/>
        </w:rPr>
        <w:t>Rationale: Based on broad survey of industry hosted payload accommodations, instrument mass of approximately 50kg and below would maximize opportunity for finding a host. Opportunities above 150kg may exist but significantly decrease hosting possibilities.</w:t>
      </w:r>
    </w:p>
    <w:p w14:paraId="54F3CD26" w14:textId="77777777" w:rsidR="00DB15E9" w:rsidRDefault="0078312E">
      <w:pPr>
        <w:pStyle w:val="Heading4"/>
      </w:pPr>
      <w:bookmarkStart w:id="267" w:name="_Toc471910867"/>
      <w:r>
        <w:t>Volume</w:t>
      </w:r>
      <w:bookmarkEnd w:id="267"/>
    </w:p>
    <w:p w14:paraId="281205EB" w14:textId="77777777" w:rsidR="00DB15E9" w:rsidRDefault="0078312E">
      <w:pPr>
        <w:autoSpaceDE w:val="0"/>
        <w:autoSpaceDN w:val="0"/>
        <w:adjustRightInd w:val="0"/>
        <w:spacing w:after="240"/>
        <w:rPr>
          <w:rFonts w:ascii="Times New Roman" w:hAnsi="Times New Roman"/>
          <w:b/>
          <w:szCs w:val="24"/>
          <w:vertAlign w:val="superscript"/>
        </w:rPr>
      </w:pPr>
      <w:r>
        <w:rPr>
          <w:rFonts w:ascii="Times New Roman" w:hAnsi="Times New Roman"/>
          <w:b/>
          <w:szCs w:val="24"/>
        </w:rPr>
        <w:t>The Instrument and all of its components should remain within a volume of 1 m</w:t>
      </w:r>
      <w:r>
        <w:rPr>
          <w:rFonts w:ascii="Times New Roman" w:hAnsi="Times New Roman"/>
          <w:b/>
          <w:szCs w:val="24"/>
          <w:vertAlign w:val="superscript"/>
        </w:rPr>
        <w:t>3</w:t>
      </w:r>
      <w:r>
        <w:rPr>
          <w:rFonts w:ascii="Times New Roman" w:hAnsi="Times New Roman"/>
          <w:b/>
          <w:szCs w:val="24"/>
        </w:rPr>
        <w:t xml:space="preserve"> during all phases of flight.</w:t>
      </w:r>
    </w:p>
    <w:p w14:paraId="5679DD6A" w14:textId="77777777" w:rsidR="00DB15E9" w:rsidRDefault="0078312E">
      <w:pPr>
        <w:autoSpaceDE w:val="0"/>
        <w:autoSpaceDN w:val="0"/>
        <w:adjustRightInd w:val="0"/>
        <w:spacing w:after="240"/>
        <w:rPr>
          <w:rFonts w:ascii="Times New Roman" w:hAnsi="Times New Roman"/>
          <w:szCs w:val="24"/>
        </w:rPr>
      </w:pPr>
      <w:r>
        <w:rPr>
          <w:rFonts w:ascii="Times New Roman" w:hAnsi="Times New Roman"/>
          <w:szCs w:val="24"/>
        </w:rPr>
        <w:t>Rationale: Based on broad survey of industry hosted payload accommodations, instrument volume of approximately 0.1 m</w:t>
      </w:r>
      <w:r>
        <w:rPr>
          <w:rFonts w:ascii="Times New Roman" w:hAnsi="Times New Roman"/>
          <w:szCs w:val="24"/>
          <w:vertAlign w:val="superscript"/>
        </w:rPr>
        <w:t>3</w:t>
      </w:r>
      <w:r>
        <w:rPr>
          <w:rFonts w:ascii="Times New Roman" w:hAnsi="Times New Roman"/>
          <w:szCs w:val="24"/>
        </w:rPr>
        <w:t xml:space="preserve"> and below would maximize opportunity for finding a host. Opportunities above 1m</w:t>
      </w:r>
      <w:r>
        <w:rPr>
          <w:rFonts w:ascii="Times New Roman" w:hAnsi="Times New Roman"/>
          <w:szCs w:val="24"/>
          <w:vertAlign w:val="superscript"/>
        </w:rPr>
        <w:t>3</w:t>
      </w:r>
      <w:r>
        <w:rPr>
          <w:rFonts w:ascii="Times New Roman" w:hAnsi="Times New Roman"/>
          <w:szCs w:val="24"/>
        </w:rPr>
        <w:t xml:space="preserve"> may exist but significantly decrease hosting possibilities.</w:t>
      </w:r>
    </w:p>
    <w:p w14:paraId="1C300B92" w14:textId="77777777" w:rsidR="00DB15E9" w:rsidRDefault="0078312E">
      <w:pPr>
        <w:pStyle w:val="Heading3"/>
      </w:pPr>
      <w:bookmarkStart w:id="268" w:name="_Toc471910868"/>
      <w:r>
        <w:t>Functionality in 1 g Environment</w:t>
      </w:r>
      <w:bookmarkEnd w:id="268"/>
    </w:p>
    <w:p w14:paraId="7A388E44" w14:textId="77777777" w:rsidR="00DB15E9" w:rsidRDefault="0078312E">
      <w:pPr>
        <w:pStyle w:val="Requirement"/>
      </w:pPr>
      <w:r>
        <w:t>The Instrument should function according to its operational specifications in any orientation while in the integration and test environment.</w:t>
      </w:r>
    </w:p>
    <w:p w14:paraId="66B6C9AD" w14:textId="77777777" w:rsidR="00DB15E9" w:rsidRDefault="0078312E">
      <w:pPr>
        <w:pStyle w:val="ESSPBodyText"/>
        <w:rPr>
          <w:color w:val="FF0000"/>
        </w:rPr>
      </w:pPr>
      <w:r>
        <w:t>Rationale: As a hosted payload, the Instrument will attach to one of multiple decks on the Host Spacecraft.</w:t>
      </w:r>
      <w:r>
        <w:rPr>
          <w:rFonts w:ascii="Times New Roman" w:hAnsi="Times New Roman"/>
          <w:szCs w:val="24"/>
        </w:rPr>
        <w:t xml:space="preserve"> </w:t>
      </w:r>
      <w:r>
        <w:t>Its orientation with respect to the Earth’s gravitational field during integration and test will not be known during the instrument design process.</w:t>
      </w:r>
      <w:r>
        <w:rPr>
          <w:rFonts w:ascii="Times New Roman" w:hAnsi="Times New Roman"/>
          <w:szCs w:val="24"/>
        </w:rPr>
        <w:t xml:space="preserve"> </w:t>
      </w:r>
      <w:r>
        <w:t>The function of the instrument and accommodation of loads should not depend on being in a particular orientation.</w:t>
      </w:r>
    </w:p>
    <w:p w14:paraId="0D63DF2C" w14:textId="77777777" w:rsidR="00DB15E9" w:rsidRDefault="0078312E">
      <w:pPr>
        <w:pStyle w:val="Heading3"/>
      </w:pPr>
      <w:bookmarkStart w:id="269" w:name="_Toc471910869"/>
      <w:r>
        <w:t>Stationary Instrument Mechanisms</w:t>
      </w:r>
      <w:bookmarkEnd w:id="269"/>
    </w:p>
    <w:p w14:paraId="4B754EFC" w14:textId="77777777" w:rsidR="00DB15E9" w:rsidRDefault="0078312E">
      <w:pPr>
        <w:pStyle w:val="Requirement"/>
      </w:pPr>
      <w:r>
        <w:t>The Instrument should cage any mechanisms that require restraint, without requiring Host Spacecraft power to maintain the caged condition, throughout the launch environment.</w:t>
      </w:r>
    </w:p>
    <w:p w14:paraId="6E63F5A2" w14:textId="77777777" w:rsidR="00DB15E9" w:rsidRDefault="0078312E">
      <w:pPr>
        <w:pStyle w:val="ESSPBodyText"/>
      </w:pPr>
      <w:r>
        <w:t>Rationale: As a hosted payload, the Instrument should not assume that the Host Spacecraft will provide any power during launch.</w:t>
      </w:r>
      <w:r>
        <w:rPr>
          <w:rFonts w:ascii="Times New Roman" w:hAnsi="Times New Roman"/>
          <w:szCs w:val="24"/>
        </w:rPr>
        <w:t xml:space="preserve"> </w:t>
      </w:r>
    </w:p>
    <w:p w14:paraId="0BD32AC3" w14:textId="77777777" w:rsidR="00DB15E9" w:rsidRDefault="0078312E">
      <w:pPr>
        <w:pStyle w:val="Heading3"/>
      </w:pPr>
      <w:bookmarkStart w:id="270" w:name="_Toc471910870"/>
      <w:r>
        <w:t>Moveable Masses</w:t>
      </w:r>
      <w:bookmarkEnd w:id="270"/>
    </w:p>
    <w:p w14:paraId="3F1C2553" w14:textId="77777777" w:rsidR="00DB15E9" w:rsidRDefault="0078312E">
      <w:pPr>
        <w:pStyle w:val="Requirement"/>
      </w:pPr>
      <w:r>
        <w:t>The Instrument should compensate for the momentum associated with the repetitive movement of large masses, relative to the mass of the Host Spacecraft.</w:t>
      </w:r>
    </w:p>
    <w:p w14:paraId="35D0BA9E" w14:textId="77777777" w:rsidR="00DB15E9" w:rsidRDefault="0078312E">
      <w:pPr>
        <w:pStyle w:val="ESSPBodyText"/>
      </w:pPr>
      <w:r>
        <w:t>Rationale: This prevents moveable masses from disturbing the operation of the Host Spacecraft or other payloads.</w:t>
      </w:r>
      <w:r>
        <w:rPr>
          <w:rFonts w:ascii="Times New Roman" w:hAnsi="Times New Roman"/>
          <w:szCs w:val="24"/>
        </w:rPr>
        <w:t xml:space="preserve"> </w:t>
      </w:r>
      <w:r>
        <w:t>This will generally not apply to items deploying during startup/initiation of operations, and the applicability of the guideline will be negotiated with the Host Spacecraft Manufacturer and/or Satellite Operator during pairing.</w:t>
      </w:r>
    </w:p>
    <w:p w14:paraId="23941498" w14:textId="77777777" w:rsidR="00DB15E9" w:rsidRDefault="0078312E">
      <w:pPr>
        <w:pStyle w:val="Heading3"/>
      </w:pPr>
      <w:bookmarkStart w:id="271" w:name="_Toc471910871"/>
      <w:r>
        <w:t>Minimum Fixed-Base Frequency</w:t>
      </w:r>
      <w:bookmarkEnd w:id="271"/>
    </w:p>
    <w:p w14:paraId="02E6D2DB" w14:textId="77777777" w:rsidR="00DB15E9" w:rsidRDefault="0078312E">
      <w:pPr>
        <w:pStyle w:val="Requirement"/>
      </w:pPr>
      <w:r>
        <w:t>The Instrument should have a fixed-base frequency greater than 100 Hz.</w:t>
      </w:r>
    </w:p>
    <w:p w14:paraId="6C33C18B" w14:textId="77777777" w:rsidR="00DB15E9" w:rsidRDefault="0078312E">
      <w:pPr>
        <w:pStyle w:val="ESSPBodyText"/>
      </w:pPr>
      <w:r>
        <w:t xml:space="preserve">Rationale: Based on broad survey of industry hosted payload accommodations, this minimum fixed-based frequency meets the composite guidance of a majority of the responding (GEO) Host </w:t>
      </w:r>
      <w:r>
        <w:lastRenderedPageBreak/>
        <w:t>Spacecraft manufacturers. Opportunities below 100 Hz may exist but decrease hosting possibilities</w:t>
      </w:r>
      <w:r>
        <w:rPr>
          <w:rFonts w:ascii="Times New Roman" w:hAnsi="Times New Roman"/>
          <w:szCs w:val="24"/>
        </w:rPr>
        <w:t xml:space="preserve"> </w:t>
      </w:r>
      <w:r>
        <w:t>To some extent, the Instrument will affect the Host Spacecraft frequency depending on the payload’s mass and mounting location.</w:t>
      </w:r>
      <w:r>
        <w:rPr>
          <w:rFonts w:ascii="Times New Roman" w:hAnsi="Times New Roman"/>
          <w:szCs w:val="24"/>
        </w:rPr>
        <w:t xml:space="preserve"> </w:t>
      </w:r>
      <w:r>
        <w:t>Host Spacecraft Manufacturers may negotiate for a greater fixed-based frequency for hosted payloads until the maturity of the instrument can support Coupled Loads Analysis.</w:t>
      </w:r>
    </w:p>
    <w:p w14:paraId="1894F53A" w14:textId="77777777" w:rsidR="00DB15E9" w:rsidRDefault="0078312E">
      <w:pPr>
        <w:pStyle w:val="Heading2"/>
      </w:pPr>
      <w:bookmarkStart w:id="272" w:name="_Toc471910872"/>
      <w:r>
        <w:t>Thermal Guidelines</w:t>
      </w:r>
      <w:bookmarkEnd w:id="272"/>
      <w:r>
        <w:t xml:space="preserve"> </w:t>
      </w:r>
    </w:p>
    <w:p w14:paraId="259062B3" w14:textId="77777777" w:rsidR="00DB15E9" w:rsidRDefault="0078312E">
      <w:pPr>
        <w:pStyle w:val="Heading3"/>
      </w:pPr>
      <w:bookmarkStart w:id="273" w:name="_Toc471910873"/>
      <w:r>
        <w:t>Assumptions</w:t>
      </w:r>
      <w:bookmarkEnd w:id="273"/>
    </w:p>
    <w:p w14:paraId="2F274272" w14:textId="77777777" w:rsidR="00DB15E9" w:rsidRDefault="0078312E">
      <w:pPr>
        <w:pStyle w:val="ESSPBodyText"/>
      </w:pPr>
      <w:r>
        <w:t>The HPIG thermal guidelines assume the following regarding the Host Spacecraft:</w:t>
      </w:r>
    </w:p>
    <w:p w14:paraId="102CEBF4" w14:textId="77777777" w:rsidR="00DB15E9" w:rsidRDefault="0078312E">
      <w:pPr>
        <w:pStyle w:val="ESSPNumberedList"/>
        <w:numPr>
          <w:ilvl w:val="0"/>
          <w:numId w:val="12"/>
        </w:numPr>
      </w:pPr>
      <w:r>
        <w:t>During the pairing process, the Host Spacecraft Manufacturer/Systems Integrator and the Instrument Developer will negotiate detailed parameters of the thermal power interface.</w:t>
      </w:r>
      <w:r>
        <w:rPr>
          <w:rFonts w:ascii="Times New Roman" w:hAnsi="Times New Roman"/>
          <w:szCs w:val="24"/>
        </w:rPr>
        <w:t xml:space="preserve"> </w:t>
      </w:r>
      <w:r>
        <w:t>The Thermal Interface Control Document (TICD) will record those parameters and decisions.</w:t>
      </w:r>
    </w:p>
    <w:p w14:paraId="2664AFA2" w14:textId="77777777" w:rsidR="00DB15E9" w:rsidRDefault="0078312E">
      <w:pPr>
        <w:pStyle w:val="ESSPNumberedList"/>
      </w:pPr>
      <w:r>
        <w:t xml:space="preserve">The Host Spacecraft will maintain a temperature range of between -40 </w:t>
      </w:r>
      <w:r>
        <w:sym w:font="Symbol" w:char="F0B0"/>
      </w:r>
      <w:r>
        <w:t xml:space="preserve">C and 70 </w:t>
      </w:r>
      <w:r>
        <w:sym w:font="Symbol" w:char="F0B0"/>
      </w:r>
      <w:r>
        <w:t>C on its own side of the interface from the Integration through Disposal portions of its lifecycle.</w:t>
      </w:r>
    </w:p>
    <w:p w14:paraId="7FB291F8" w14:textId="77777777" w:rsidR="00DB15E9" w:rsidRDefault="0078312E">
      <w:pPr>
        <w:pStyle w:val="ESSPNumberedList"/>
      </w:pPr>
      <w:r>
        <w:t>The Host Spacecraft Manufacturer will be responsible for thermal hardware used to close out the interfaces between the Instrument and Host Spacecraft, such as closeout Multi-layer Insulation (MLI).</w:t>
      </w:r>
    </w:p>
    <w:p w14:paraId="0096D92C" w14:textId="77777777" w:rsidR="00DB15E9" w:rsidRDefault="0078312E">
      <w:pPr>
        <w:pStyle w:val="Heading3"/>
      </w:pPr>
      <w:bookmarkStart w:id="274" w:name="_Toc471910874"/>
      <w:r>
        <w:t>Thermal Interface</w:t>
      </w:r>
      <w:bookmarkEnd w:id="274"/>
    </w:p>
    <w:p w14:paraId="36162D0D" w14:textId="77777777" w:rsidR="00DB15E9" w:rsidRDefault="0078312E">
      <w:pPr>
        <w:pStyle w:val="Requirement"/>
      </w:pPr>
      <w:r>
        <w:t>The Instrument should be thermally isolated from the Host Spacecraft.</w:t>
      </w:r>
    </w:p>
    <w:p w14:paraId="0BCB0AD1" w14:textId="77777777" w:rsidR="00DB15E9" w:rsidRDefault="0078312E">
      <w:pPr>
        <w:pStyle w:val="ESSPBodyText"/>
        <w:rPr>
          <w:b/>
          <w:bCs/>
          <w:sz w:val="20"/>
          <w:szCs w:val="20"/>
        </w:rPr>
      </w:pPr>
      <w:r>
        <w:t>Rationale: As a hosted payload, the Instrument should manage its own heat transfer needs without depending on the Host Spacecraft.</w:t>
      </w:r>
      <w:r>
        <w:rPr>
          <w:rFonts w:ascii="Times New Roman" w:hAnsi="Times New Roman"/>
          <w:szCs w:val="24"/>
        </w:rPr>
        <w:t xml:space="preserve"> </w:t>
      </w:r>
      <w:r>
        <w:t>The common practice in the industry is to thermally isolate the payload from the spacecraft.</w:t>
      </w:r>
    </w:p>
    <w:p w14:paraId="076AB09F" w14:textId="77777777" w:rsidR="00DB15E9" w:rsidRDefault="0078312E">
      <w:pPr>
        <w:pStyle w:val="Heading3"/>
      </w:pPr>
      <w:bookmarkStart w:id="275" w:name="_Toc471910875"/>
      <w:r>
        <w:t>Thermal Design at the Mechanical Interface</w:t>
      </w:r>
      <w:bookmarkEnd w:id="275"/>
    </w:p>
    <w:p w14:paraId="23067C2F" w14:textId="77777777" w:rsidR="00DB15E9" w:rsidRDefault="0078312E">
      <w:pPr>
        <w:pStyle w:val="Requirement"/>
      </w:pPr>
      <w:r>
        <w:t>The Instrument thermal design should be decoupled from the Host Spacecraft at the mechanical interface between the spacecraft and neighboring payloads to the maximum practical extent.</w:t>
      </w:r>
    </w:p>
    <w:p w14:paraId="4AD6E84C" w14:textId="77777777" w:rsidR="00DB15E9" w:rsidRDefault="0078312E">
      <w:pPr>
        <w:pStyle w:val="ESSPBodyText"/>
      </w:pPr>
      <w:r>
        <w:t>Rationale: As a hosted payload, the instrument should not interfere with the Host Spacecraft’s functions.</w:t>
      </w:r>
      <w:r>
        <w:rPr>
          <w:rFonts w:ascii="Times New Roman" w:hAnsi="Times New Roman"/>
          <w:szCs w:val="24"/>
        </w:rPr>
        <w:t xml:space="preserve"> </w:t>
      </w:r>
      <w:r>
        <w:t>The common practice in the industry is to thermally isolate the payload from the spacecraft.</w:t>
      </w:r>
      <w:r>
        <w:rPr>
          <w:rFonts w:ascii="Times New Roman" w:hAnsi="Times New Roman"/>
          <w:szCs w:val="24"/>
        </w:rPr>
        <w:t xml:space="preserve"> </w:t>
      </w:r>
    </w:p>
    <w:p w14:paraId="319A818E" w14:textId="77777777" w:rsidR="00DB15E9" w:rsidRDefault="0078312E">
      <w:pPr>
        <w:pStyle w:val="Heading3"/>
      </w:pPr>
      <w:bookmarkStart w:id="276" w:name="_Toc471910876"/>
      <w:r>
        <w:t>Conductive Heat Transfer</w:t>
      </w:r>
      <w:bookmarkEnd w:id="276"/>
    </w:p>
    <w:p w14:paraId="0F68E52D" w14:textId="77777777" w:rsidR="00DB15E9" w:rsidRDefault="0078312E">
      <w:pPr>
        <w:pStyle w:val="Requirement"/>
      </w:pPr>
      <w:r>
        <w:t>The conductive heat transfer at the Instrument-Host Spacecraft mechanical interface should be less than 15 W/m</w:t>
      </w:r>
      <w:r>
        <w:rPr>
          <w:vertAlign w:val="superscript"/>
        </w:rPr>
        <w:t>2</w:t>
      </w:r>
      <w:r>
        <w:t xml:space="preserve"> or 4 W, whichever is greater.</w:t>
      </w:r>
    </w:p>
    <w:p w14:paraId="462CB8DA" w14:textId="77777777" w:rsidR="00DB15E9" w:rsidRDefault="0078312E">
      <w:pPr>
        <w:pStyle w:val="ESSPBodyText"/>
      </w:pPr>
      <w:r>
        <w:t>Rationale:</w:t>
      </w:r>
      <w:r>
        <w:rPr>
          <w:rFonts w:ascii="Times New Roman" w:hAnsi="Times New Roman"/>
          <w:szCs w:val="24"/>
        </w:rPr>
        <w:t xml:space="preserve"> </w:t>
      </w:r>
      <w:r>
        <w:t>A conductive heat transfer of 15 W/m</w:t>
      </w:r>
      <w:r>
        <w:rPr>
          <w:vertAlign w:val="superscript"/>
        </w:rPr>
        <w:t>2</w:t>
      </w:r>
      <w:r>
        <w:t xml:space="preserve"> or 4 W is considered small enough to meet the intent of being thermally isolated. </w:t>
      </w:r>
    </w:p>
    <w:p w14:paraId="3CBC644E" w14:textId="77777777" w:rsidR="00DB15E9" w:rsidRDefault="0078312E">
      <w:pPr>
        <w:pStyle w:val="Heading3"/>
      </w:pPr>
      <w:bookmarkStart w:id="277" w:name="_Toc471910877"/>
      <w:r>
        <w:t>Radiative Heat Transfer</w:t>
      </w:r>
      <w:bookmarkEnd w:id="277"/>
    </w:p>
    <w:p w14:paraId="2260C766" w14:textId="77777777" w:rsidR="00DB15E9" w:rsidRDefault="0078312E">
      <w:pPr>
        <w:pStyle w:val="Requirement"/>
      </w:pPr>
      <w:r>
        <w:t>The TICD will document the allowable radiative heat transfer from the Instrument to the Host Spacecraft.</w:t>
      </w:r>
    </w:p>
    <w:p w14:paraId="75CE5D55" w14:textId="77777777" w:rsidR="00DB15E9" w:rsidRDefault="0078312E">
      <w:pPr>
        <w:rPr>
          <w:rFonts w:ascii="Times New Roman" w:hAnsi="Times New Roman"/>
          <w:szCs w:val="24"/>
        </w:rPr>
      </w:pPr>
      <w:r>
        <w:rPr>
          <w:rFonts w:ascii="Times New Roman" w:hAnsi="Times New Roman"/>
          <w:szCs w:val="24"/>
        </w:rPr>
        <w:lastRenderedPageBreak/>
        <w:t xml:space="preserve">Rationale: </w:t>
      </w:r>
    </w:p>
    <w:p w14:paraId="08DF7873" w14:textId="77777777" w:rsidR="00DB15E9" w:rsidRDefault="0078312E">
      <w:pPr>
        <w:pStyle w:val="ListParagraph"/>
        <w:numPr>
          <w:ilvl w:val="0"/>
          <w:numId w:val="21"/>
        </w:numPr>
        <w:rPr>
          <w:rFonts w:ascii="Times New Roman" w:hAnsi="Times New Roman"/>
          <w:szCs w:val="24"/>
        </w:rPr>
      </w:pPr>
      <w:r>
        <w:rPr>
          <w:rFonts w:ascii="Times New Roman" w:hAnsi="Times New Roman"/>
          <w:szCs w:val="24"/>
        </w:rPr>
        <w:t xml:space="preserve">There is a limit to how much heat the Instrument should transmit to the Host Spacecraft via radiation, but that limit will be unknown prior to the thermal analysis conducted following Instrument-to-Host Spacecraft pairing. The TICD will document that future negotiated value. </w:t>
      </w:r>
    </w:p>
    <w:p w14:paraId="001C7CEB" w14:textId="77777777" w:rsidR="00DB15E9" w:rsidRDefault="0078312E">
      <w:pPr>
        <w:pStyle w:val="ListParagraph"/>
        <w:numPr>
          <w:ilvl w:val="0"/>
          <w:numId w:val="21"/>
        </w:numPr>
        <w:rPr>
          <w:rFonts w:ascii="Times New Roman" w:hAnsi="Times New Roman"/>
          <w:szCs w:val="24"/>
        </w:rPr>
      </w:pPr>
      <w:r>
        <w:rPr>
          <w:rFonts w:ascii="Times New Roman" w:hAnsi="Times New Roman"/>
          <w:szCs w:val="24"/>
        </w:rPr>
        <w:t xml:space="preserve">Hosted payload with science instruments requiring radiators operating at cold temperatures (below 25 </w:t>
      </w:r>
      <w:r>
        <w:rPr>
          <w:rFonts w:ascii="Times New Roman" w:hAnsi="Times New Roman"/>
          <w:szCs w:val="24"/>
        </w:rPr>
        <w:sym w:font="Symbol" w:char="F0B0"/>
      </w:r>
      <w:r>
        <w:rPr>
          <w:rFonts w:ascii="Times New Roman" w:hAnsi="Times New Roman"/>
          <w:szCs w:val="24"/>
        </w:rPr>
        <w:t>C) should consider the backloading from the warm parts of the spacecraft on the radiators. Solar array and antennas can impose significant backloading if the radiator has any view of them (see Table 3-3 and Figure 3-2).</w:t>
      </w:r>
    </w:p>
    <w:p w14:paraId="5FF0EC21" w14:textId="77777777" w:rsidR="00DB15E9" w:rsidRDefault="0078312E">
      <w:pPr>
        <w:pStyle w:val="ESSPTableCaption"/>
      </w:pPr>
      <w:bookmarkStart w:id="278" w:name="_Toc471971563"/>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3</w:t>
      </w:r>
      <w:r w:rsidR="00BA5284">
        <w:rPr>
          <w:noProof/>
        </w:rPr>
        <w:fldChar w:fldCharType="end"/>
      </w:r>
      <w:r>
        <w:t>: Worst-case Backloading on Payload Radiator</w:t>
      </w:r>
      <w:bookmarkEnd w:id="278"/>
    </w:p>
    <w:tbl>
      <w:tblPr>
        <w:tblW w:w="7261" w:type="dxa"/>
        <w:jc w:val="center"/>
        <w:tblLook w:val="04A0" w:firstRow="1" w:lastRow="0" w:firstColumn="1" w:lastColumn="0" w:noHBand="0" w:noVBand="1"/>
      </w:tblPr>
      <w:tblGrid>
        <w:gridCol w:w="1880"/>
        <w:gridCol w:w="2231"/>
        <w:gridCol w:w="1620"/>
        <w:gridCol w:w="1530"/>
      </w:tblGrid>
      <w:tr w:rsidR="00DB15E9" w14:paraId="0D529F36" w14:textId="77777777">
        <w:trPr>
          <w:trHeight w:val="475"/>
          <w:jc w:val="center"/>
        </w:trPr>
        <w:tc>
          <w:tcPr>
            <w:tcW w:w="1880" w:type="dxa"/>
            <w:tcBorders>
              <w:top w:val="single" w:sz="8" w:space="0" w:color="auto"/>
              <w:left w:val="single" w:sz="8" w:space="0" w:color="auto"/>
              <w:bottom w:val="single" w:sz="4" w:space="0" w:color="auto"/>
              <w:right w:val="single" w:sz="4" w:space="0" w:color="auto"/>
            </w:tcBorders>
            <w:shd w:val="clear" w:color="auto" w:fill="000000" w:themeFill="text1"/>
            <w:vAlign w:val="bottom"/>
            <w:hideMark/>
          </w:tcPr>
          <w:p w14:paraId="389FA700" w14:textId="77777777" w:rsidR="00DB15E9" w:rsidRDefault="0078312E">
            <w:pPr>
              <w:pStyle w:val="ESSPTableText"/>
            </w:pPr>
            <w:r>
              <w:t xml:space="preserve">S/C Source Temp., </w:t>
            </w:r>
            <w:r>
              <w:sym w:font="Symbol" w:char="F0B0"/>
            </w:r>
            <w:r>
              <w:t>C</w:t>
            </w:r>
          </w:p>
        </w:tc>
        <w:tc>
          <w:tcPr>
            <w:tcW w:w="2231" w:type="dxa"/>
            <w:tcBorders>
              <w:top w:val="single" w:sz="8" w:space="0" w:color="auto"/>
              <w:left w:val="nil"/>
              <w:bottom w:val="single" w:sz="4" w:space="0" w:color="auto"/>
              <w:right w:val="single" w:sz="4" w:space="0" w:color="auto"/>
            </w:tcBorders>
            <w:shd w:val="clear" w:color="auto" w:fill="000000" w:themeFill="text1"/>
            <w:vAlign w:val="bottom"/>
            <w:hideMark/>
          </w:tcPr>
          <w:p w14:paraId="5FD67A46" w14:textId="77777777" w:rsidR="00DB15E9" w:rsidRDefault="0078312E">
            <w:pPr>
              <w:pStyle w:val="ESSPTableText"/>
            </w:pPr>
            <w:r>
              <w:t xml:space="preserve">Payload Radiator Temp., </w:t>
            </w:r>
            <w:r>
              <w:sym w:font="Symbol" w:char="F0B0"/>
            </w:r>
            <w:r>
              <w:t>C</w:t>
            </w:r>
          </w:p>
        </w:tc>
        <w:tc>
          <w:tcPr>
            <w:tcW w:w="1620" w:type="dxa"/>
            <w:tcBorders>
              <w:top w:val="single" w:sz="8" w:space="0" w:color="auto"/>
              <w:left w:val="nil"/>
              <w:bottom w:val="single" w:sz="4" w:space="0" w:color="auto"/>
              <w:right w:val="single" w:sz="4" w:space="0" w:color="auto"/>
            </w:tcBorders>
            <w:shd w:val="clear" w:color="auto" w:fill="000000" w:themeFill="text1"/>
            <w:vAlign w:val="bottom"/>
            <w:hideMark/>
          </w:tcPr>
          <w:p w14:paraId="421DB003" w14:textId="77777777" w:rsidR="00DB15E9" w:rsidRDefault="0078312E">
            <w:pPr>
              <w:pStyle w:val="ESSPTableText"/>
            </w:pPr>
            <w:r>
              <w:t>Load, W/m2</w:t>
            </w:r>
            <w:r>
              <w:br/>
              <w:t>VF=0.1</w:t>
            </w:r>
          </w:p>
        </w:tc>
        <w:tc>
          <w:tcPr>
            <w:tcW w:w="1530" w:type="dxa"/>
            <w:tcBorders>
              <w:top w:val="single" w:sz="8" w:space="0" w:color="auto"/>
              <w:left w:val="nil"/>
              <w:bottom w:val="single" w:sz="4" w:space="0" w:color="auto"/>
              <w:right w:val="single" w:sz="8" w:space="0" w:color="auto"/>
            </w:tcBorders>
            <w:shd w:val="clear" w:color="auto" w:fill="000000" w:themeFill="text1"/>
            <w:vAlign w:val="bottom"/>
            <w:hideMark/>
          </w:tcPr>
          <w:p w14:paraId="07F6421A" w14:textId="77777777" w:rsidR="00DB15E9" w:rsidRDefault="0078312E">
            <w:pPr>
              <w:pStyle w:val="ESSPTableText"/>
            </w:pPr>
            <w:r>
              <w:t>Load, W/m2</w:t>
            </w:r>
            <w:r>
              <w:br/>
              <w:t>VF=0.2</w:t>
            </w:r>
          </w:p>
        </w:tc>
      </w:tr>
      <w:tr w:rsidR="00DB15E9" w14:paraId="009E2626"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5B2A433"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2151FA3E" w14:textId="77777777" w:rsidR="00DB15E9" w:rsidRDefault="0078312E">
            <w:pPr>
              <w:pStyle w:val="ESSPTableText"/>
              <w:keepNext w:val="0"/>
            </w:pPr>
            <w:r>
              <w:t>50</w:t>
            </w:r>
          </w:p>
        </w:tc>
        <w:tc>
          <w:tcPr>
            <w:tcW w:w="1620" w:type="dxa"/>
            <w:tcBorders>
              <w:top w:val="nil"/>
              <w:left w:val="nil"/>
              <w:bottom w:val="single" w:sz="4" w:space="0" w:color="auto"/>
              <w:right w:val="single" w:sz="4" w:space="0" w:color="auto"/>
            </w:tcBorders>
            <w:shd w:val="clear" w:color="auto" w:fill="auto"/>
            <w:noWrap/>
            <w:vAlign w:val="bottom"/>
            <w:hideMark/>
          </w:tcPr>
          <w:p w14:paraId="60F9DB76" w14:textId="77777777" w:rsidR="00DB15E9" w:rsidRDefault="0078312E">
            <w:pPr>
              <w:pStyle w:val="ESSPTableText"/>
              <w:keepNext w:val="0"/>
            </w:pPr>
            <w:r>
              <w:t>0</w:t>
            </w:r>
          </w:p>
        </w:tc>
        <w:tc>
          <w:tcPr>
            <w:tcW w:w="1530" w:type="dxa"/>
            <w:tcBorders>
              <w:top w:val="nil"/>
              <w:left w:val="nil"/>
              <w:bottom w:val="single" w:sz="4" w:space="0" w:color="auto"/>
              <w:right w:val="single" w:sz="8" w:space="0" w:color="auto"/>
            </w:tcBorders>
            <w:shd w:val="clear" w:color="auto" w:fill="auto"/>
            <w:noWrap/>
            <w:vAlign w:val="bottom"/>
            <w:hideMark/>
          </w:tcPr>
          <w:p w14:paraId="6C652DE2" w14:textId="77777777" w:rsidR="00DB15E9" w:rsidRDefault="0078312E">
            <w:pPr>
              <w:pStyle w:val="ESSPTableText"/>
              <w:keepNext w:val="0"/>
            </w:pPr>
            <w:r>
              <w:t>0</w:t>
            </w:r>
          </w:p>
        </w:tc>
      </w:tr>
      <w:tr w:rsidR="00DB15E9" w14:paraId="37538EA7"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E2A3AC6"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451D95E6" w14:textId="77777777" w:rsidR="00DB15E9" w:rsidRDefault="0078312E">
            <w:pPr>
              <w:pStyle w:val="ESSPTableText"/>
              <w:keepNext w:val="0"/>
            </w:pPr>
            <w:r>
              <w:t>40</w:t>
            </w:r>
          </w:p>
        </w:tc>
        <w:tc>
          <w:tcPr>
            <w:tcW w:w="1620" w:type="dxa"/>
            <w:tcBorders>
              <w:top w:val="nil"/>
              <w:left w:val="nil"/>
              <w:bottom w:val="single" w:sz="4" w:space="0" w:color="auto"/>
              <w:right w:val="single" w:sz="4" w:space="0" w:color="auto"/>
            </w:tcBorders>
            <w:shd w:val="clear" w:color="auto" w:fill="auto"/>
            <w:noWrap/>
            <w:vAlign w:val="bottom"/>
            <w:hideMark/>
          </w:tcPr>
          <w:p w14:paraId="1B0C60F0" w14:textId="77777777" w:rsidR="00DB15E9" w:rsidRDefault="0078312E">
            <w:pPr>
              <w:pStyle w:val="ESSPTableText"/>
              <w:keepNext w:val="0"/>
            </w:pPr>
            <w:r>
              <w:t>7</w:t>
            </w:r>
          </w:p>
        </w:tc>
        <w:tc>
          <w:tcPr>
            <w:tcW w:w="1530" w:type="dxa"/>
            <w:tcBorders>
              <w:top w:val="nil"/>
              <w:left w:val="nil"/>
              <w:bottom w:val="single" w:sz="4" w:space="0" w:color="auto"/>
              <w:right w:val="single" w:sz="8" w:space="0" w:color="auto"/>
            </w:tcBorders>
            <w:shd w:val="clear" w:color="auto" w:fill="auto"/>
            <w:noWrap/>
            <w:vAlign w:val="bottom"/>
            <w:hideMark/>
          </w:tcPr>
          <w:p w14:paraId="44EF9C7F" w14:textId="77777777" w:rsidR="00DB15E9" w:rsidRDefault="0078312E">
            <w:pPr>
              <w:pStyle w:val="ESSPTableText"/>
              <w:keepNext w:val="0"/>
            </w:pPr>
            <w:r>
              <w:t>15</w:t>
            </w:r>
          </w:p>
        </w:tc>
      </w:tr>
      <w:tr w:rsidR="00DB15E9" w14:paraId="777E579B"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1B946055"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2640512E" w14:textId="77777777" w:rsidR="00DB15E9" w:rsidRDefault="0078312E">
            <w:pPr>
              <w:pStyle w:val="ESSPTableText"/>
              <w:keepNext w:val="0"/>
            </w:pPr>
            <w:r>
              <w:t>30</w:t>
            </w:r>
          </w:p>
        </w:tc>
        <w:tc>
          <w:tcPr>
            <w:tcW w:w="1620" w:type="dxa"/>
            <w:tcBorders>
              <w:top w:val="nil"/>
              <w:left w:val="nil"/>
              <w:bottom w:val="single" w:sz="4" w:space="0" w:color="auto"/>
              <w:right w:val="single" w:sz="4" w:space="0" w:color="auto"/>
            </w:tcBorders>
            <w:shd w:val="clear" w:color="auto" w:fill="auto"/>
            <w:noWrap/>
            <w:vAlign w:val="bottom"/>
            <w:hideMark/>
          </w:tcPr>
          <w:p w14:paraId="0C772350" w14:textId="77777777" w:rsidR="00DB15E9" w:rsidRDefault="0078312E">
            <w:pPr>
              <w:pStyle w:val="ESSPTableText"/>
              <w:keepNext w:val="0"/>
            </w:pPr>
            <w:r>
              <w:t>14</w:t>
            </w:r>
          </w:p>
        </w:tc>
        <w:tc>
          <w:tcPr>
            <w:tcW w:w="1530" w:type="dxa"/>
            <w:tcBorders>
              <w:top w:val="nil"/>
              <w:left w:val="nil"/>
              <w:bottom w:val="single" w:sz="4" w:space="0" w:color="auto"/>
              <w:right w:val="single" w:sz="8" w:space="0" w:color="auto"/>
            </w:tcBorders>
            <w:shd w:val="clear" w:color="auto" w:fill="auto"/>
            <w:noWrap/>
            <w:vAlign w:val="bottom"/>
            <w:hideMark/>
          </w:tcPr>
          <w:p w14:paraId="5192601F" w14:textId="77777777" w:rsidR="00DB15E9" w:rsidRDefault="0078312E">
            <w:pPr>
              <w:pStyle w:val="ESSPTableText"/>
              <w:keepNext w:val="0"/>
            </w:pPr>
            <w:r>
              <w:t>28</w:t>
            </w:r>
          </w:p>
        </w:tc>
      </w:tr>
      <w:tr w:rsidR="00DB15E9" w14:paraId="478395D6"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4F3C70D"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57280D5F" w14:textId="77777777" w:rsidR="00DB15E9" w:rsidRDefault="0078312E">
            <w:pPr>
              <w:pStyle w:val="ESSPTableText"/>
              <w:keepNext w:val="0"/>
            </w:pPr>
            <w:r>
              <w:t>20</w:t>
            </w:r>
          </w:p>
        </w:tc>
        <w:tc>
          <w:tcPr>
            <w:tcW w:w="1620" w:type="dxa"/>
            <w:tcBorders>
              <w:top w:val="nil"/>
              <w:left w:val="nil"/>
              <w:bottom w:val="single" w:sz="4" w:space="0" w:color="auto"/>
              <w:right w:val="single" w:sz="4" w:space="0" w:color="auto"/>
            </w:tcBorders>
            <w:shd w:val="clear" w:color="auto" w:fill="auto"/>
            <w:noWrap/>
            <w:vAlign w:val="bottom"/>
            <w:hideMark/>
          </w:tcPr>
          <w:p w14:paraId="3695D293" w14:textId="77777777" w:rsidR="00DB15E9" w:rsidRDefault="0078312E">
            <w:pPr>
              <w:pStyle w:val="ESSPTableText"/>
              <w:keepNext w:val="0"/>
            </w:pPr>
            <w:r>
              <w:t>20</w:t>
            </w:r>
          </w:p>
        </w:tc>
        <w:tc>
          <w:tcPr>
            <w:tcW w:w="1530" w:type="dxa"/>
            <w:tcBorders>
              <w:top w:val="nil"/>
              <w:left w:val="nil"/>
              <w:bottom w:val="single" w:sz="4" w:space="0" w:color="auto"/>
              <w:right w:val="single" w:sz="8" w:space="0" w:color="auto"/>
            </w:tcBorders>
            <w:shd w:val="clear" w:color="auto" w:fill="auto"/>
            <w:noWrap/>
            <w:vAlign w:val="bottom"/>
            <w:hideMark/>
          </w:tcPr>
          <w:p w14:paraId="2CBC1BCF" w14:textId="77777777" w:rsidR="00DB15E9" w:rsidRDefault="0078312E">
            <w:pPr>
              <w:pStyle w:val="ESSPTableText"/>
              <w:keepNext w:val="0"/>
            </w:pPr>
            <w:r>
              <w:t>40</w:t>
            </w:r>
          </w:p>
        </w:tc>
      </w:tr>
      <w:tr w:rsidR="00DB15E9" w14:paraId="41D9017B"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1E181114"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1C53FA0B" w14:textId="77777777" w:rsidR="00DB15E9" w:rsidRDefault="0078312E">
            <w:pPr>
              <w:pStyle w:val="ESSPTableText"/>
              <w:keepNext w:val="0"/>
            </w:pPr>
            <w:r>
              <w:t>10</w:t>
            </w:r>
          </w:p>
        </w:tc>
        <w:tc>
          <w:tcPr>
            <w:tcW w:w="1620" w:type="dxa"/>
            <w:tcBorders>
              <w:top w:val="nil"/>
              <w:left w:val="nil"/>
              <w:bottom w:val="single" w:sz="4" w:space="0" w:color="auto"/>
              <w:right w:val="single" w:sz="4" w:space="0" w:color="auto"/>
            </w:tcBorders>
            <w:shd w:val="clear" w:color="auto" w:fill="auto"/>
            <w:noWrap/>
            <w:vAlign w:val="bottom"/>
            <w:hideMark/>
          </w:tcPr>
          <w:p w14:paraId="5CAC404D" w14:textId="77777777" w:rsidR="00DB15E9" w:rsidRDefault="0078312E">
            <w:pPr>
              <w:pStyle w:val="ESSPTableText"/>
              <w:keepNext w:val="0"/>
            </w:pPr>
            <w:r>
              <w:t>25</w:t>
            </w:r>
          </w:p>
        </w:tc>
        <w:tc>
          <w:tcPr>
            <w:tcW w:w="1530" w:type="dxa"/>
            <w:tcBorders>
              <w:top w:val="nil"/>
              <w:left w:val="nil"/>
              <w:bottom w:val="single" w:sz="4" w:space="0" w:color="auto"/>
              <w:right w:val="single" w:sz="8" w:space="0" w:color="auto"/>
            </w:tcBorders>
            <w:shd w:val="clear" w:color="auto" w:fill="auto"/>
            <w:noWrap/>
            <w:vAlign w:val="bottom"/>
            <w:hideMark/>
          </w:tcPr>
          <w:p w14:paraId="572BAEAD" w14:textId="77777777" w:rsidR="00DB15E9" w:rsidRDefault="0078312E">
            <w:pPr>
              <w:pStyle w:val="ESSPTableText"/>
              <w:keepNext w:val="0"/>
            </w:pPr>
            <w:r>
              <w:t>51</w:t>
            </w:r>
          </w:p>
        </w:tc>
      </w:tr>
      <w:tr w:rsidR="00DB15E9" w14:paraId="35FFDE08"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D1AB555"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44AB5C10" w14:textId="77777777" w:rsidR="00DB15E9" w:rsidRDefault="0078312E">
            <w:pPr>
              <w:pStyle w:val="ESSPTableText"/>
              <w:keepNext w:val="0"/>
            </w:pPr>
            <w:r>
              <w:t>0</w:t>
            </w:r>
          </w:p>
        </w:tc>
        <w:tc>
          <w:tcPr>
            <w:tcW w:w="1620" w:type="dxa"/>
            <w:tcBorders>
              <w:top w:val="nil"/>
              <w:left w:val="nil"/>
              <w:bottom w:val="single" w:sz="4" w:space="0" w:color="auto"/>
              <w:right w:val="single" w:sz="4" w:space="0" w:color="auto"/>
            </w:tcBorders>
            <w:shd w:val="clear" w:color="auto" w:fill="auto"/>
            <w:noWrap/>
            <w:vAlign w:val="bottom"/>
            <w:hideMark/>
          </w:tcPr>
          <w:p w14:paraId="7CF7B803" w14:textId="77777777" w:rsidR="00DB15E9" w:rsidRDefault="0078312E">
            <w:pPr>
              <w:pStyle w:val="ESSPTableText"/>
              <w:keepNext w:val="0"/>
            </w:pPr>
            <w:r>
              <w:t>30</w:t>
            </w:r>
          </w:p>
        </w:tc>
        <w:tc>
          <w:tcPr>
            <w:tcW w:w="1530" w:type="dxa"/>
            <w:tcBorders>
              <w:top w:val="nil"/>
              <w:left w:val="nil"/>
              <w:bottom w:val="single" w:sz="4" w:space="0" w:color="auto"/>
              <w:right w:val="single" w:sz="8" w:space="0" w:color="auto"/>
            </w:tcBorders>
            <w:shd w:val="clear" w:color="auto" w:fill="auto"/>
            <w:noWrap/>
            <w:vAlign w:val="bottom"/>
            <w:hideMark/>
          </w:tcPr>
          <w:p w14:paraId="465B4200" w14:textId="77777777" w:rsidR="00DB15E9" w:rsidRDefault="0078312E">
            <w:pPr>
              <w:pStyle w:val="ESSPTableText"/>
              <w:keepNext w:val="0"/>
            </w:pPr>
            <w:r>
              <w:t>60</w:t>
            </w:r>
          </w:p>
        </w:tc>
      </w:tr>
      <w:tr w:rsidR="00DB15E9" w14:paraId="443A8253"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3F59F31"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70E8DCCF" w14:textId="77777777" w:rsidR="00DB15E9" w:rsidRDefault="0078312E">
            <w:pPr>
              <w:pStyle w:val="ESSPTableText"/>
              <w:keepNext w:val="0"/>
            </w:pPr>
            <w:r>
              <w:t>-10</w:t>
            </w:r>
          </w:p>
        </w:tc>
        <w:tc>
          <w:tcPr>
            <w:tcW w:w="1620" w:type="dxa"/>
            <w:tcBorders>
              <w:top w:val="nil"/>
              <w:left w:val="nil"/>
              <w:bottom w:val="single" w:sz="4" w:space="0" w:color="auto"/>
              <w:right w:val="single" w:sz="4" w:space="0" w:color="auto"/>
            </w:tcBorders>
            <w:shd w:val="clear" w:color="auto" w:fill="auto"/>
            <w:noWrap/>
            <w:vAlign w:val="bottom"/>
            <w:hideMark/>
          </w:tcPr>
          <w:p w14:paraId="306BF260" w14:textId="77777777" w:rsidR="00DB15E9" w:rsidRDefault="0078312E">
            <w:pPr>
              <w:pStyle w:val="ESSPTableText"/>
              <w:keepNext w:val="0"/>
            </w:pPr>
            <w:r>
              <w:t>35</w:t>
            </w:r>
          </w:p>
        </w:tc>
        <w:tc>
          <w:tcPr>
            <w:tcW w:w="1530" w:type="dxa"/>
            <w:tcBorders>
              <w:top w:val="nil"/>
              <w:left w:val="nil"/>
              <w:bottom w:val="single" w:sz="4" w:space="0" w:color="auto"/>
              <w:right w:val="single" w:sz="8" w:space="0" w:color="auto"/>
            </w:tcBorders>
            <w:shd w:val="clear" w:color="auto" w:fill="auto"/>
            <w:noWrap/>
            <w:vAlign w:val="bottom"/>
            <w:hideMark/>
          </w:tcPr>
          <w:p w14:paraId="383E2C69" w14:textId="77777777" w:rsidR="00DB15E9" w:rsidRDefault="0078312E">
            <w:pPr>
              <w:pStyle w:val="ESSPTableText"/>
              <w:keepNext w:val="0"/>
            </w:pPr>
            <w:r>
              <w:t>69</w:t>
            </w:r>
          </w:p>
        </w:tc>
      </w:tr>
      <w:tr w:rsidR="00DB15E9" w14:paraId="24986BBA"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13A67D40"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751FC495" w14:textId="77777777" w:rsidR="00DB15E9" w:rsidRDefault="0078312E">
            <w:pPr>
              <w:pStyle w:val="ESSPTableText"/>
              <w:keepNext w:val="0"/>
            </w:pPr>
            <w:r>
              <w:t>-20</w:t>
            </w:r>
          </w:p>
        </w:tc>
        <w:tc>
          <w:tcPr>
            <w:tcW w:w="1620" w:type="dxa"/>
            <w:tcBorders>
              <w:top w:val="nil"/>
              <w:left w:val="nil"/>
              <w:bottom w:val="single" w:sz="4" w:space="0" w:color="auto"/>
              <w:right w:val="single" w:sz="4" w:space="0" w:color="auto"/>
            </w:tcBorders>
            <w:shd w:val="clear" w:color="auto" w:fill="auto"/>
            <w:noWrap/>
            <w:vAlign w:val="bottom"/>
            <w:hideMark/>
          </w:tcPr>
          <w:p w14:paraId="5EC57B24" w14:textId="77777777" w:rsidR="00DB15E9" w:rsidRDefault="0078312E">
            <w:pPr>
              <w:pStyle w:val="ESSPTableText"/>
              <w:keepNext w:val="0"/>
            </w:pPr>
            <w:r>
              <w:t>38</w:t>
            </w:r>
          </w:p>
        </w:tc>
        <w:tc>
          <w:tcPr>
            <w:tcW w:w="1530" w:type="dxa"/>
            <w:tcBorders>
              <w:top w:val="nil"/>
              <w:left w:val="nil"/>
              <w:bottom w:val="single" w:sz="4" w:space="0" w:color="auto"/>
              <w:right w:val="single" w:sz="8" w:space="0" w:color="auto"/>
            </w:tcBorders>
            <w:shd w:val="clear" w:color="auto" w:fill="auto"/>
            <w:noWrap/>
            <w:vAlign w:val="bottom"/>
            <w:hideMark/>
          </w:tcPr>
          <w:p w14:paraId="59120D63" w14:textId="77777777" w:rsidR="00DB15E9" w:rsidRDefault="0078312E">
            <w:pPr>
              <w:pStyle w:val="ESSPTableText"/>
              <w:keepNext w:val="0"/>
            </w:pPr>
            <w:r>
              <w:t>77</w:t>
            </w:r>
          </w:p>
        </w:tc>
      </w:tr>
      <w:tr w:rsidR="00DB15E9" w14:paraId="3D047511"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6699378"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1B4B0E5B" w14:textId="77777777" w:rsidR="00DB15E9" w:rsidRDefault="0078312E">
            <w:pPr>
              <w:pStyle w:val="ESSPTableText"/>
              <w:keepNext w:val="0"/>
            </w:pPr>
            <w:r>
              <w:t>-30</w:t>
            </w:r>
          </w:p>
        </w:tc>
        <w:tc>
          <w:tcPr>
            <w:tcW w:w="1620" w:type="dxa"/>
            <w:tcBorders>
              <w:top w:val="nil"/>
              <w:left w:val="nil"/>
              <w:bottom w:val="single" w:sz="4" w:space="0" w:color="auto"/>
              <w:right w:val="single" w:sz="4" w:space="0" w:color="auto"/>
            </w:tcBorders>
            <w:shd w:val="clear" w:color="auto" w:fill="auto"/>
            <w:noWrap/>
            <w:vAlign w:val="bottom"/>
            <w:hideMark/>
          </w:tcPr>
          <w:p w14:paraId="29726F88" w14:textId="77777777" w:rsidR="00DB15E9" w:rsidRDefault="0078312E">
            <w:pPr>
              <w:pStyle w:val="ESSPTableText"/>
              <w:keepNext w:val="0"/>
            </w:pPr>
            <w:r>
              <w:t>42</w:t>
            </w:r>
          </w:p>
        </w:tc>
        <w:tc>
          <w:tcPr>
            <w:tcW w:w="1530" w:type="dxa"/>
            <w:tcBorders>
              <w:top w:val="nil"/>
              <w:left w:val="nil"/>
              <w:bottom w:val="single" w:sz="4" w:space="0" w:color="auto"/>
              <w:right w:val="single" w:sz="8" w:space="0" w:color="auto"/>
            </w:tcBorders>
            <w:shd w:val="clear" w:color="auto" w:fill="auto"/>
            <w:noWrap/>
            <w:vAlign w:val="bottom"/>
            <w:hideMark/>
          </w:tcPr>
          <w:p w14:paraId="262D9045" w14:textId="77777777" w:rsidR="00DB15E9" w:rsidRDefault="0078312E">
            <w:pPr>
              <w:pStyle w:val="ESSPTableText"/>
              <w:keepNext w:val="0"/>
            </w:pPr>
            <w:r>
              <w:t>84</w:t>
            </w:r>
          </w:p>
        </w:tc>
      </w:tr>
      <w:tr w:rsidR="00DB15E9" w14:paraId="6E0ACA75"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F0BEA62"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372BB04E" w14:textId="77777777" w:rsidR="00DB15E9" w:rsidRDefault="0078312E">
            <w:pPr>
              <w:pStyle w:val="ESSPTableText"/>
              <w:keepNext w:val="0"/>
            </w:pPr>
            <w:r>
              <w:t>-40</w:t>
            </w:r>
          </w:p>
        </w:tc>
        <w:tc>
          <w:tcPr>
            <w:tcW w:w="1620" w:type="dxa"/>
            <w:tcBorders>
              <w:top w:val="nil"/>
              <w:left w:val="nil"/>
              <w:bottom w:val="single" w:sz="4" w:space="0" w:color="auto"/>
              <w:right w:val="single" w:sz="4" w:space="0" w:color="auto"/>
            </w:tcBorders>
            <w:shd w:val="clear" w:color="auto" w:fill="auto"/>
            <w:noWrap/>
            <w:vAlign w:val="bottom"/>
            <w:hideMark/>
          </w:tcPr>
          <w:p w14:paraId="2217802C" w14:textId="77777777" w:rsidR="00DB15E9" w:rsidRDefault="0078312E">
            <w:pPr>
              <w:pStyle w:val="ESSPTableText"/>
              <w:keepNext w:val="0"/>
            </w:pPr>
            <w:r>
              <w:t>45</w:t>
            </w:r>
          </w:p>
        </w:tc>
        <w:tc>
          <w:tcPr>
            <w:tcW w:w="1530" w:type="dxa"/>
            <w:tcBorders>
              <w:top w:val="nil"/>
              <w:left w:val="nil"/>
              <w:bottom w:val="single" w:sz="4" w:space="0" w:color="auto"/>
              <w:right w:val="single" w:sz="8" w:space="0" w:color="auto"/>
            </w:tcBorders>
            <w:shd w:val="clear" w:color="auto" w:fill="auto"/>
            <w:noWrap/>
            <w:vAlign w:val="bottom"/>
            <w:hideMark/>
          </w:tcPr>
          <w:p w14:paraId="7A9CD7AC" w14:textId="77777777" w:rsidR="00DB15E9" w:rsidRDefault="0078312E">
            <w:pPr>
              <w:pStyle w:val="ESSPTableText"/>
              <w:keepNext w:val="0"/>
            </w:pPr>
            <w:r>
              <w:t>90</w:t>
            </w:r>
          </w:p>
        </w:tc>
      </w:tr>
      <w:tr w:rsidR="00DB15E9" w14:paraId="2EE44785"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F05D6C7" w14:textId="77777777" w:rsidR="00DB15E9" w:rsidRDefault="0078312E">
            <w:pPr>
              <w:pStyle w:val="ESSPTableText"/>
              <w:keepNext w:val="0"/>
            </w:pPr>
            <w:r>
              <w:t>50</w:t>
            </w:r>
          </w:p>
        </w:tc>
        <w:tc>
          <w:tcPr>
            <w:tcW w:w="2231" w:type="dxa"/>
            <w:tcBorders>
              <w:top w:val="nil"/>
              <w:left w:val="nil"/>
              <w:bottom w:val="single" w:sz="4" w:space="0" w:color="auto"/>
              <w:right w:val="single" w:sz="4" w:space="0" w:color="auto"/>
            </w:tcBorders>
            <w:shd w:val="clear" w:color="auto" w:fill="auto"/>
            <w:noWrap/>
            <w:vAlign w:val="bottom"/>
            <w:hideMark/>
          </w:tcPr>
          <w:p w14:paraId="0E0D55E8" w14:textId="77777777" w:rsidR="00DB15E9" w:rsidRDefault="0078312E">
            <w:pPr>
              <w:pStyle w:val="ESSPTableText"/>
              <w:keepNext w:val="0"/>
            </w:pPr>
            <w:r>
              <w:t>-50</w:t>
            </w:r>
          </w:p>
        </w:tc>
        <w:tc>
          <w:tcPr>
            <w:tcW w:w="1620" w:type="dxa"/>
            <w:tcBorders>
              <w:top w:val="nil"/>
              <w:left w:val="nil"/>
              <w:bottom w:val="single" w:sz="4" w:space="0" w:color="auto"/>
              <w:right w:val="single" w:sz="4" w:space="0" w:color="auto"/>
            </w:tcBorders>
            <w:shd w:val="clear" w:color="auto" w:fill="auto"/>
            <w:noWrap/>
            <w:vAlign w:val="bottom"/>
            <w:hideMark/>
          </w:tcPr>
          <w:p w14:paraId="30A54EF1" w14:textId="77777777" w:rsidR="00DB15E9" w:rsidRDefault="0078312E">
            <w:pPr>
              <w:pStyle w:val="ESSPTableText"/>
              <w:keepNext w:val="0"/>
            </w:pPr>
            <w:r>
              <w:t>48</w:t>
            </w:r>
          </w:p>
        </w:tc>
        <w:tc>
          <w:tcPr>
            <w:tcW w:w="1530" w:type="dxa"/>
            <w:tcBorders>
              <w:top w:val="nil"/>
              <w:left w:val="nil"/>
              <w:bottom w:val="single" w:sz="4" w:space="0" w:color="auto"/>
              <w:right w:val="single" w:sz="8" w:space="0" w:color="auto"/>
            </w:tcBorders>
            <w:shd w:val="clear" w:color="auto" w:fill="auto"/>
            <w:noWrap/>
            <w:vAlign w:val="bottom"/>
            <w:hideMark/>
          </w:tcPr>
          <w:p w14:paraId="50D24D17" w14:textId="77777777" w:rsidR="00DB15E9" w:rsidRDefault="0078312E">
            <w:pPr>
              <w:pStyle w:val="ESSPTableText"/>
              <w:keepNext w:val="0"/>
            </w:pPr>
            <w:r>
              <w:t>95</w:t>
            </w:r>
          </w:p>
        </w:tc>
      </w:tr>
      <w:tr w:rsidR="00DB15E9" w14:paraId="67DED664" w14:textId="77777777">
        <w:trPr>
          <w:trHeight w:val="288"/>
          <w:jc w:val="center"/>
        </w:trPr>
        <w:tc>
          <w:tcPr>
            <w:tcW w:w="1880" w:type="dxa"/>
            <w:tcBorders>
              <w:top w:val="nil"/>
              <w:left w:val="single" w:sz="8" w:space="0" w:color="auto"/>
              <w:bottom w:val="nil"/>
              <w:right w:val="single" w:sz="4" w:space="0" w:color="auto"/>
            </w:tcBorders>
            <w:shd w:val="clear" w:color="auto" w:fill="auto"/>
            <w:noWrap/>
            <w:vAlign w:val="bottom"/>
            <w:hideMark/>
          </w:tcPr>
          <w:p w14:paraId="06987CD5" w14:textId="77777777" w:rsidR="00DB15E9" w:rsidRDefault="0078312E">
            <w:pPr>
              <w:pStyle w:val="ESSPTableText"/>
              <w:keepNext w:val="0"/>
            </w:pPr>
            <w:r>
              <w:t>50</w:t>
            </w:r>
          </w:p>
        </w:tc>
        <w:tc>
          <w:tcPr>
            <w:tcW w:w="2231" w:type="dxa"/>
            <w:tcBorders>
              <w:top w:val="nil"/>
              <w:left w:val="nil"/>
              <w:bottom w:val="nil"/>
              <w:right w:val="single" w:sz="4" w:space="0" w:color="auto"/>
            </w:tcBorders>
            <w:shd w:val="clear" w:color="auto" w:fill="auto"/>
            <w:noWrap/>
            <w:vAlign w:val="bottom"/>
            <w:hideMark/>
          </w:tcPr>
          <w:p w14:paraId="22F99DBF" w14:textId="77777777" w:rsidR="00DB15E9" w:rsidRDefault="0078312E">
            <w:pPr>
              <w:pStyle w:val="ESSPTableText"/>
              <w:keepNext w:val="0"/>
            </w:pPr>
            <w:r>
              <w:t>-60</w:t>
            </w:r>
          </w:p>
        </w:tc>
        <w:tc>
          <w:tcPr>
            <w:tcW w:w="1620" w:type="dxa"/>
            <w:tcBorders>
              <w:top w:val="nil"/>
              <w:left w:val="nil"/>
              <w:bottom w:val="nil"/>
              <w:right w:val="single" w:sz="4" w:space="0" w:color="auto"/>
            </w:tcBorders>
            <w:shd w:val="clear" w:color="auto" w:fill="auto"/>
            <w:noWrap/>
            <w:vAlign w:val="bottom"/>
            <w:hideMark/>
          </w:tcPr>
          <w:p w14:paraId="5D255BDC" w14:textId="77777777" w:rsidR="00DB15E9" w:rsidRDefault="0078312E">
            <w:pPr>
              <w:pStyle w:val="ESSPTableText"/>
              <w:keepNext w:val="0"/>
            </w:pPr>
            <w:r>
              <w:t>50</w:t>
            </w:r>
          </w:p>
        </w:tc>
        <w:tc>
          <w:tcPr>
            <w:tcW w:w="1530" w:type="dxa"/>
            <w:tcBorders>
              <w:top w:val="nil"/>
              <w:left w:val="nil"/>
              <w:bottom w:val="nil"/>
              <w:right w:val="single" w:sz="8" w:space="0" w:color="auto"/>
            </w:tcBorders>
            <w:shd w:val="clear" w:color="auto" w:fill="auto"/>
            <w:noWrap/>
            <w:vAlign w:val="bottom"/>
            <w:hideMark/>
          </w:tcPr>
          <w:p w14:paraId="7D41FEF4" w14:textId="77777777" w:rsidR="00DB15E9" w:rsidRDefault="0078312E">
            <w:pPr>
              <w:pStyle w:val="ESSPTableText"/>
              <w:keepNext w:val="0"/>
            </w:pPr>
            <w:r>
              <w:t>100</w:t>
            </w:r>
          </w:p>
        </w:tc>
      </w:tr>
      <w:tr w:rsidR="00DB15E9" w14:paraId="5F7AC0E7" w14:textId="77777777">
        <w:trPr>
          <w:trHeight w:val="288"/>
          <w:jc w:val="center"/>
        </w:trPr>
        <w:tc>
          <w:tcPr>
            <w:tcW w:w="1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AD3AEFD" w14:textId="77777777" w:rsidR="00DB15E9" w:rsidRDefault="00DB15E9">
            <w:pPr>
              <w:pStyle w:val="ESSPTableText"/>
              <w:keepNext w:val="0"/>
            </w:pP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14:paraId="55ED18FE" w14:textId="77777777" w:rsidR="00DB15E9" w:rsidRDefault="00DB15E9">
            <w:pPr>
              <w:pStyle w:val="ESSPTableText"/>
              <w:keepNext w:val="0"/>
            </w:pP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3E4B67F" w14:textId="77777777" w:rsidR="00DB15E9" w:rsidRDefault="00DB15E9">
            <w:pPr>
              <w:pStyle w:val="ESSPTableText"/>
              <w:keepNext w:val="0"/>
            </w:pPr>
          </w:p>
        </w:tc>
        <w:tc>
          <w:tcPr>
            <w:tcW w:w="1530" w:type="dxa"/>
            <w:tcBorders>
              <w:top w:val="single" w:sz="4" w:space="0" w:color="auto"/>
              <w:left w:val="nil"/>
              <w:bottom w:val="single" w:sz="4" w:space="0" w:color="auto"/>
              <w:right w:val="single" w:sz="8" w:space="0" w:color="auto"/>
            </w:tcBorders>
            <w:shd w:val="clear" w:color="auto" w:fill="auto"/>
            <w:noWrap/>
            <w:vAlign w:val="bottom"/>
            <w:hideMark/>
          </w:tcPr>
          <w:p w14:paraId="7839E107" w14:textId="77777777" w:rsidR="00DB15E9" w:rsidRDefault="00DB15E9">
            <w:pPr>
              <w:pStyle w:val="ESSPTableText"/>
              <w:keepNext w:val="0"/>
            </w:pPr>
          </w:p>
        </w:tc>
      </w:tr>
      <w:tr w:rsidR="00DB15E9" w14:paraId="37F37789"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3474566"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603E079C" w14:textId="77777777" w:rsidR="00DB15E9" w:rsidRDefault="0078312E">
            <w:pPr>
              <w:pStyle w:val="ESSPTableText"/>
              <w:keepNext w:val="0"/>
            </w:pPr>
            <w:r>
              <w:t>50</w:t>
            </w:r>
          </w:p>
        </w:tc>
        <w:tc>
          <w:tcPr>
            <w:tcW w:w="1620" w:type="dxa"/>
            <w:tcBorders>
              <w:top w:val="nil"/>
              <w:left w:val="nil"/>
              <w:bottom w:val="single" w:sz="4" w:space="0" w:color="auto"/>
              <w:right w:val="single" w:sz="4" w:space="0" w:color="auto"/>
            </w:tcBorders>
            <w:shd w:val="clear" w:color="auto" w:fill="auto"/>
            <w:noWrap/>
            <w:vAlign w:val="bottom"/>
            <w:hideMark/>
          </w:tcPr>
          <w:p w14:paraId="46B6D64C" w14:textId="77777777" w:rsidR="00DB15E9" w:rsidRDefault="0078312E">
            <w:pPr>
              <w:pStyle w:val="ESSPTableText"/>
              <w:keepNext w:val="0"/>
            </w:pPr>
            <w:r>
              <w:t>48</w:t>
            </w:r>
          </w:p>
        </w:tc>
        <w:tc>
          <w:tcPr>
            <w:tcW w:w="1530" w:type="dxa"/>
            <w:tcBorders>
              <w:top w:val="nil"/>
              <w:left w:val="nil"/>
              <w:bottom w:val="single" w:sz="4" w:space="0" w:color="auto"/>
              <w:right w:val="single" w:sz="8" w:space="0" w:color="auto"/>
            </w:tcBorders>
            <w:shd w:val="clear" w:color="auto" w:fill="auto"/>
            <w:noWrap/>
            <w:vAlign w:val="bottom"/>
            <w:hideMark/>
          </w:tcPr>
          <w:p w14:paraId="6F47FE4B" w14:textId="77777777" w:rsidR="00DB15E9" w:rsidRDefault="0078312E">
            <w:pPr>
              <w:pStyle w:val="ESSPTableText"/>
              <w:keepNext w:val="0"/>
            </w:pPr>
            <w:r>
              <w:t>96</w:t>
            </w:r>
          </w:p>
        </w:tc>
      </w:tr>
      <w:tr w:rsidR="00DB15E9" w14:paraId="11FB8C59"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123D9904"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6023E48D" w14:textId="77777777" w:rsidR="00DB15E9" w:rsidRDefault="0078312E">
            <w:pPr>
              <w:pStyle w:val="ESSPTableText"/>
              <w:keepNext w:val="0"/>
            </w:pPr>
            <w:r>
              <w:t>40</w:t>
            </w:r>
          </w:p>
        </w:tc>
        <w:tc>
          <w:tcPr>
            <w:tcW w:w="1620" w:type="dxa"/>
            <w:tcBorders>
              <w:top w:val="nil"/>
              <w:left w:val="nil"/>
              <w:bottom w:val="single" w:sz="4" w:space="0" w:color="auto"/>
              <w:right w:val="single" w:sz="4" w:space="0" w:color="auto"/>
            </w:tcBorders>
            <w:shd w:val="clear" w:color="auto" w:fill="auto"/>
            <w:noWrap/>
            <w:vAlign w:val="bottom"/>
            <w:hideMark/>
          </w:tcPr>
          <w:p w14:paraId="5C03D49B" w14:textId="77777777" w:rsidR="00DB15E9" w:rsidRDefault="0078312E">
            <w:pPr>
              <w:pStyle w:val="ESSPTableText"/>
              <w:keepNext w:val="0"/>
            </w:pPr>
            <w:r>
              <w:t>55</w:t>
            </w:r>
          </w:p>
        </w:tc>
        <w:tc>
          <w:tcPr>
            <w:tcW w:w="1530" w:type="dxa"/>
            <w:tcBorders>
              <w:top w:val="nil"/>
              <w:left w:val="nil"/>
              <w:bottom w:val="single" w:sz="4" w:space="0" w:color="auto"/>
              <w:right w:val="single" w:sz="8" w:space="0" w:color="auto"/>
            </w:tcBorders>
            <w:shd w:val="clear" w:color="auto" w:fill="auto"/>
            <w:noWrap/>
            <w:vAlign w:val="bottom"/>
            <w:hideMark/>
          </w:tcPr>
          <w:p w14:paraId="1A0020EB" w14:textId="77777777" w:rsidR="00DB15E9" w:rsidRDefault="0078312E">
            <w:pPr>
              <w:pStyle w:val="ESSPTableText"/>
              <w:keepNext w:val="0"/>
            </w:pPr>
            <w:r>
              <w:t>110</w:t>
            </w:r>
          </w:p>
        </w:tc>
      </w:tr>
      <w:tr w:rsidR="00DB15E9" w14:paraId="4BF47FEB"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A43F5EA"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1C3E0C12" w14:textId="77777777" w:rsidR="00DB15E9" w:rsidRDefault="0078312E">
            <w:pPr>
              <w:pStyle w:val="ESSPTableText"/>
              <w:keepNext w:val="0"/>
            </w:pPr>
            <w:r>
              <w:t>30</w:t>
            </w:r>
          </w:p>
        </w:tc>
        <w:tc>
          <w:tcPr>
            <w:tcW w:w="1620" w:type="dxa"/>
            <w:tcBorders>
              <w:top w:val="nil"/>
              <w:left w:val="nil"/>
              <w:bottom w:val="single" w:sz="4" w:space="0" w:color="auto"/>
              <w:right w:val="single" w:sz="4" w:space="0" w:color="auto"/>
            </w:tcBorders>
            <w:shd w:val="clear" w:color="auto" w:fill="auto"/>
            <w:noWrap/>
            <w:vAlign w:val="bottom"/>
            <w:hideMark/>
          </w:tcPr>
          <w:p w14:paraId="1361BDF9" w14:textId="77777777" w:rsidR="00DB15E9" w:rsidRDefault="0078312E">
            <w:pPr>
              <w:pStyle w:val="ESSPTableText"/>
              <w:keepNext w:val="0"/>
            </w:pPr>
            <w:r>
              <w:t>62</w:t>
            </w:r>
          </w:p>
        </w:tc>
        <w:tc>
          <w:tcPr>
            <w:tcW w:w="1530" w:type="dxa"/>
            <w:tcBorders>
              <w:top w:val="nil"/>
              <w:left w:val="nil"/>
              <w:bottom w:val="single" w:sz="4" w:space="0" w:color="auto"/>
              <w:right w:val="single" w:sz="8" w:space="0" w:color="auto"/>
            </w:tcBorders>
            <w:shd w:val="clear" w:color="auto" w:fill="auto"/>
            <w:noWrap/>
            <w:vAlign w:val="bottom"/>
            <w:hideMark/>
          </w:tcPr>
          <w:p w14:paraId="27C1AC1C" w14:textId="77777777" w:rsidR="00DB15E9" w:rsidRDefault="0078312E">
            <w:pPr>
              <w:pStyle w:val="ESSPTableText"/>
              <w:keepNext w:val="0"/>
            </w:pPr>
            <w:r>
              <w:t>124</w:t>
            </w:r>
          </w:p>
        </w:tc>
      </w:tr>
      <w:tr w:rsidR="00DB15E9" w14:paraId="5ACC43C7"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DDC3ABA"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04C5E20B" w14:textId="77777777" w:rsidR="00DB15E9" w:rsidRDefault="0078312E">
            <w:pPr>
              <w:pStyle w:val="ESSPTableText"/>
              <w:keepNext w:val="0"/>
            </w:pPr>
            <w:r>
              <w:t>20</w:t>
            </w:r>
          </w:p>
        </w:tc>
        <w:tc>
          <w:tcPr>
            <w:tcW w:w="1620" w:type="dxa"/>
            <w:tcBorders>
              <w:top w:val="nil"/>
              <w:left w:val="nil"/>
              <w:bottom w:val="single" w:sz="4" w:space="0" w:color="auto"/>
              <w:right w:val="single" w:sz="4" w:space="0" w:color="auto"/>
            </w:tcBorders>
            <w:shd w:val="clear" w:color="auto" w:fill="auto"/>
            <w:noWrap/>
            <w:vAlign w:val="bottom"/>
            <w:hideMark/>
          </w:tcPr>
          <w:p w14:paraId="367D65D6" w14:textId="77777777" w:rsidR="00DB15E9" w:rsidRDefault="0078312E">
            <w:pPr>
              <w:pStyle w:val="ESSPTableText"/>
              <w:keepNext w:val="0"/>
            </w:pPr>
            <w:r>
              <w:t>68</w:t>
            </w:r>
          </w:p>
        </w:tc>
        <w:tc>
          <w:tcPr>
            <w:tcW w:w="1530" w:type="dxa"/>
            <w:tcBorders>
              <w:top w:val="nil"/>
              <w:left w:val="nil"/>
              <w:bottom w:val="single" w:sz="4" w:space="0" w:color="auto"/>
              <w:right w:val="single" w:sz="8" w:space="0" w:color="auto"/>
            </w:tcBorders>
            <w:shd w:val="clear" w:color="auto" w:fill="auto"/>
            <w:noWrap/>
            <w:vAlign w:val="bottom"/>
            <w:hideMark/>
          </w:tcPr>
          <w:p w14:paraId="03B8922C" w14:textId="77777777" w:rsidR="00DB15E9" w:rsidRDefault="0078312E">
            <w:pPr>
              <w:pStyle w:val="ESSPTableText"/>
              <w:keepNext w:val="0"/>
            </w:pPr>
            <w:r>
              <w:t>136</w:t>
            </w:r>
          </w:p>
        </w:tc>
      </w:tr>
      <w:tr w:rsidR="00DB15E9" w14:paraId="49380D54"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951000F"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637C2653" w14:textId="77777777" w:rsidR="00DB15E9" w:rsidRDefault="0078312E">
            <w:pPr>
              <w:pStyle w:val="ESSPTableText"/>
              <w:keepNext w:val="0"/>
            </w:pPr>
            <w:r>
              <w:t>10</w:t>
            </w:r>
          </w:p>
        </w:tc>
        <w:tc>
          <w:tcPr>
            <w:tcW w:w="1620" w:type="dxa"/>
            <w:tcBorders>
              <w:top w:val="nil"/>
              <w:left w:val="nil"/>
              <w:bottom w:val="single" w:sz="4" w:space="0" w:color="auto"/>
              <w:right w:val="single" w:sz="4" w:space="0" w:color="auto"/>
            </w:tcBorders>
            <w:shd w:val="clear" w:color="auto" w:fill="auto"/>
            <w:noWrap/>
            <w:vAlign w:val="bottom"/>
            <w:hideMark/>
          </w:tcPr>
          <w:p w14:paraId="2CD7270E" w14:textId="77777777" w:rsidR="00DB15E9" w:rsidRDefault="0078312E">
            <w:pPr>
              <w:pStyle w:val="ESSPTableText"/>
              <w:keepNext w:val="0"/>
            </w:pPr>
            <w:r>
              <w:t>73</w:t>
            </w:r>
          </w:p>
        </w:tc>
        <w:tc>
          <w:tcPr>
            <w:tcW w:w="1530" w:type="dxa"/>
            <w:tcBorders>
              <w:top w:val="nil"/>
              <w:left w:val="nil"/>
              <w:bottom w:val="single" w:sz="4" w:space="0" w:color="auto"/>
              <w:right w:val="single" w:sz="8" w:space="0" w:color="auto"/>
            </w:tcBorders>
            <w:shd w:val="clear" w:color="auto" w:fill="auto"/>
            <w:noWrap/>
            <w:vAlign w:val="bottom"/>
            <w:hideMark/>
          </w:tcPr>
          <w:p w14:paraId="550202F3" w14:textId="77777777" w:rsidR="00DB15E9" w:rsidRDefault="0078312E">
            <w:pPr>
              <w:pStyle w:val="ESSPTableText"/>
              <w:keepNext w:val="0"/>
            </w:pPr>
            <w:r>
              <w:t>147</w:t>
            </w:r>
          </w:p>
        </w:tc>
      </w:tr>
      <w:tr w:rsidR="00DB15E9" w14:paraId="044B4CF0"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6641C52"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499F303C" w14:textId="77777777" w:rsidR="00DB15E9" w:rsidRDefault="0078312E">
            <w:pPr>
              <w:pStyle w:val="ESSPTableText"/>
              <w:keepNext w:val="0"/>
            </w:pPr>
            <w:r>
              <w:t>0</w:t>
            </w:r>
          </w:p>
        </w:tc>
        <w:tc>
          <w:tcPr>
            <w:tcW w:w="1620" w:type="dxa"/>
            <w:tcBorders>
              <w:top w:val="nil"/>
              <w:left w:val="nil"/>
              <w:bottom w:val="single" w:sz="4" w:space="0" w:color="auto"/>
              <w:right w:val="single" w:sz="4" w:space="0" w:color="auto"/>
            </w:tcBorders>
            <w:shd w:val="clear" w:color="auto" w:fill="auto"/>
            <w:noWrap/>
            <w:vAlign w:val="bottom"/>
            <w:hideMark/>
          </w:tcPr>
          <w:p w14:paraId="7B0A3B58" w14:textId="77777777" w:rsidR="00DB15E9" w:rsidRDefault="0078312E">
            <w:pPr>
              <w:pStyle w:val="ESSPTableText"/>
              <w:keepNext w:val="0"/>
            </w:pPr>
            <w:r>
              <w:t>78</w:t>
            </w:r>
          </w:p>
        </w:tc>
        <w:tc>
          <w:tcPr>
            <w:tcW w:w="1530" w:type="dxa"/>
            <w:tcBorders>
              <w:top w:val="nil"/>
              <w:left w:val="nil"/>
              <w:bottom w:val="single" w:sz="4" w:space="0" w:color="auto"/>
              <w:right w:val="single" w:sz="8" w:space="0" w:color="auto"/>
            </w:tcBorders>
            <w:shd w:val="clear" w:color="auto" w:fill="auto"/>
            <w:noWrap/>
            <w:vAlign w:val="bottom"/>
            <w:hideMark/>
          </w:tcPr>
          <w:p w14:paraId="52939F18" w14:textId="77777777" w:rsidR="00DB15E9" w:rsidRDefault="0078312E">
            <w:pPr>
              <w:pStyle w:val="ESSPTableText"/>
              <w:keepNext w:val="0"/>
            </w:pPr>
            <w:r>
              <w:t>156</w:t>
            </w:r>
          </w:p>
        </w:tc>
      </w:tr>
      <w:tr w:rsidR="00DB15E9" w14:paraId="05251934"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7D35845"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61EE3B09" w14:textId="77777777" w:rsidR="00DB15E9" w:rsidRDefault="0078312E">
            <w:pPr>
              <w:pStyle w:val="ESSPTableText"/>
              <w:keepNext w:val="0"/>
            </w:pPr>
            <w:r>
              <w:t>-10</w:t>
            </w:r>
          </w:p>
        </w:tc>
        <w:tc>
          <w:tcPr>
            <w:tcW w:w="1620" w:type="dxa"/>
            <w:tcBorders>
              <w:top w:val="nil"/>
              <w:left w:val="nil"/>
              <w:bottom w:val="single" w:sz="4" w:space="0" w:color="auto"/>
              <w:right w:val="single" w:sz="4" w:space="0" w:color="auto"/>
            </w:tcBorders>
            <w:shd w:val="clear" w:color="auto" w:fill="auto"/>
            <w:noWrap/>
            <w:vAlign w:val="bottom"/>
            <w:hideMark/>
          </w:tcPr>
          <w:p w14:paraId="0B5BBEA9" w14:textId="77777777" w:rsidR="00DB15E9" w:rsidRDefault="0078312E">
            <w:pPr>
              <w:pStyle w:val="ESSPTableText"/>
              <w:keepNext w:val="0"/>
            </w:pPr>
            <w:r>
              <w:t>82</w:t>
            </w:r>
          </w:p>
        </w:tc>
        <w:tc>
          <w:tcPr>
            <w:tcW w:w="1530" w:type="dxa"/>
            <w:tcBorders>
              <w:top w:val="nil"/>
              <w:left w:val="nil"/>
              <w:bottom w:val="single" w:sz="4" w:space="0" w:color="auto"/>
              <w:right w:val="single" w:sz="8" w:space="0" w:color="auto"/>
            </w:tcBorders>
            <w:shd w:val="clear" w:color="auto" w:fill="auto"/>
            <w:noWrap/>
            <w:vAlign w:val="bottom"/>
            <w:hideMark/>
          </w:tcPr>
          <w:p w14:paraId="59AE0C92" w14:textId="77777777" w:rsidR="00DB15E9" w:rsidRDefault="0078312E">
            <w:pPr>
              <w:pStyle w:val="ESSPTableText"/>
              <w:keepNext w:val="0"/>
            </w:pPr>
            <w:r>
              <w:t>165</w:t>
            </w:r>
          </w:p>
        </w:tc>
      </w:tr>
      <w:tr w:rsidR="00DB15E9" w14:paraId="4FCF7968"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B44A366"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133D7326" w14:textId="77777777" w:rsidR="00DB15E9" w:rsidRDefault="0078312E">
            <w:pPr>
              <w:pStyle w:val="ESSPTableText"/>
              <w:keepNext w:val="0"/>
            </w:pPr>
            <w:r>
              <w:t>-20</w:t>
            </w:r>
          </w:p>
        </w:tc>
        <w:tc>
          <w:tcPr>
            <w:tcW w:w="1620" w:type="dxa"/>
            <w:tcBorders>
              <w:top w:val="nil"/>
              <w:left w:val="nil"/>
              <w:bottom w:val="single" w:sz="4" w:space="0" w:color="auto"/>
              <w:right w:val="single" w:sz="4" w:space="0" w:color="auto"/>
            </w:tcBorders>
            <w:shd w:val="clear" w:color="auto" w:fill="auto"/>
            <w:noWrap/>
            <w:vAlign w:val="bottom"/>
            <w:hideMark/>
          </w:tcPr>
          <w:p w14:paraId="37772C48" w14:textId="77777777" w:rsidR="00DB15E9" w:rsidRDefault="0078312E">
            <w:pPr>
              <w:pStyle w:val="ESSPTableText"/>
              <w:keepNext w:val="0"/>
            </w:pPr>
            <w:r>
              <w:t>86</w:t>
            </w:r>
          </w:p>
        </w:tc>
        <w:tc>
          <w:tcPr>
            <w:tcW w:w="1530" w:type="dxa"/>
            <w:tcBorders>
              <w:top w:val="nil"/>
              <w:left w:val="nil"/>
              <w:bottom w:val="single" w:sz="4" w:space="0" w:color="auto"/>
              <w:right w:val="single" w:sz="8" w:space="0" w:color="auto"/>
            </w:tcBorders>
            <w:shd w:val="clear" w:color="auto" w:fill="auto"/>
            <w:noWrap/>
            <w:vAlign w:val="bottom"/>
            <w:hideMark/>
          </w:tcPr>
          <w:p w14:paraId="71EA97D3" w14:textId="77777777" w:rsidR="00DB15E9" w:rsidRDefault="0078312E">
            <w:pPr>
              <w:pStyle w:val="ESSPTableText"/>
              <w:keepNext w:val="0"/>
            </w:pPr>
            <w:r>
              <w:t>173</w:t>
            </w:r>
          </w:p>
        </w:tc>
      </w:tr>
      <w:tr w:rsidR="00DB15E9" w14:paraId="6001DEAE"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5715914"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48734D59" w14:textId="77777777" w:rsidR="00DB15E9" w:rsidRDefault="0078312E">
            <w:pPr>
              <w:pStyle w:val="ESSPTableText"/>
              <w:keepNext w:val="0"/>
            </w:pPr>
            <w:r>
              <w:t>-30</w:t>
            </w:r>
          </w:p>
        </w:tc>
        <w:tc>
          <w:tcPr>
            <w:tcW w:w="1620" w:type="dxa"/>
            <w:tcBorders>
              <w:top w:val="nil"/>
              <w:left w:val="nil"/>
              <w:bottom w:val="single" w:sz="4" w:space="0" w:color="auto"/>
              <w:right w:val="single" w:sz="4" w:space="0" w:color="auto"/>
            </w:tcBorders>
            <w:shd w:val="clear" w:color="auto" w:fill="auto"/>
            <w:noWrap/>
            <w:vAlign w:val="bottom"/>
            <w:hideMark/>
          </w:tcPr>
          <w:p w14:paraId="0A6B3D8E" w14:textId="77777777" w:rsidR="00DB15E9" w:rsidRDefault="0078312E">
            <w:pPr>
              <w:pStyle w:val="ESSPTableText"/>
              <w:keepNext w:val="0"/>
            </w:pPr>
            <w:r>
              <w:t>90</w:t>
            </w:r>
          </w:p>
        </w:tc>
        <w:tc>
          <w:tcPr>
            <w:tcW w:w="1530" w:type="dxa"/>
            <w:tcBorders>
              <w:top w:val="nil"/>
              <w:left w:val="nil"/>
              <w:bottom w:val="single" w:sz="4" w:space="0" w:color="auto"/>
              <w:right w:val="single" w:sz="8" w:space="0" w:color="auto"/>
            </w:tcBorders>
            <w:shd w:val="clear" w:color="auto" w:fill="auto"/>
            <w:noWrap/>
            <w:vAlign w:val="bottom"/>
            <w:hideMark/>
          </w:tcPr>
          <w:p w14:paraId="4F252B7B" w14:textId="77777777" w:rsidR="00DB15E9" w:rsidRDefault="0078312E">
            <w:pPr>
              <w:pStyle w:val="ESSPTableText"/>
              <w:keepNext w:val="0"/>
            </w:pPr>
            <w:r>
              <w:t>180</w:t>
            </w:r>
          </w:p>
        </w:tc>
      </w:tr>
      <w:tr w:rsidR="00DB15E9" w14:paraId="2916DD1A"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2C8A09D"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25C673FD" w14:textId="77777777" w:rsidR="00DB15E9" w:rsidRDefault="0078312E">
            <w:pPr>
              <w:pStyle w:val="ESSPTableText"/>
              <w:keepNext w:val="0"/>
            </w:pPr>
            <w:r>
              <w:t>-40</w:t>
            </w:r>
          </w:p>
        </w:tc>
        <w:tc>
          <w:tcPr>
            <w:tcW w:w="1620" w:type="dxa"/>
            <w:tcBorders>
              <w:top w:val="nil"/>
              <w:left w:val="nil"/>
              <w:bottom w:val="single" w:sz="4" w:space="0" w:color="auto"/>
              <w:right w:val="single" w:sz="4" w:space="0" w:color="auto"/>
            </w:tcBorders>
            <w:shd w:val="clear" w:color="auto" w:fill="auto"/>
            <w:noWrap/>
            <w:vAlign w:val="bottom"/>
            <w:hideMark/>
          </w:tcPr>
          <w:p w14:paraId="495C794A" w14:textId="77777777" w:rsidR="00DB15E9" w:rsidRDefault="0078312E">
            <w:pPr>
              <w:pStyle w:val="ESSPTableText"/>
              <w:keepNext w:val="0"/>
            </w:pPr>
            <w:r>
              <w:t>93</w:t>
            </w:r>
          </w:p>
        </w:tc>
        <w:tc>
          <w:tcPr>
            <w:tcW w:w="1530" w:type="dxa"/>
            <w:tcBorders>
              <w:top w:val="nil"/>
              <w:left w:val="nil"/>
              <w:bottom w:val="single" w:sz="4" w:space="0" w:color="auto"/>
              <w:right w:val="single" w:sz="8" w:space="0" w:color="auto"/>
            </w:tcBorders>
            <w:shd w:val="clear" w:color="auto" w:fill="auto"/>
            <w:noWrap/>
            <w:vAlign w:val="bottom"/>
            <w:hideMark/>
          </w:tcPr>
          <w:p w14:paraId="7BA5F78D" w14:textId="77777777" w:rsidR="00DB15E9" w:rsidRDefault="0078312E">
            <w:pPr>
              <w:pStyle w:val="ESSPTableText"/>
              <w:keepNext w:val="0"/>
            </w:pPr>
            <w:r>
              <w:t>186</w:t>
            </w:r>
          </w:p>
        </w:tc>
      </w:tr>
      <w:tr w:rsidR="00DB15E9" w14:paraId="18A41FBA" w14:textId="77777777">
        <w:trPr>
          <w:trHeight w:val="288"/>
          <w:jc w:val="center"/>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D2CF21A" w14:textId="77777777" w:rsidR="00DB15E9" w:rsidRDefault="0078312E">
            <w:pPr>
              <w:pStyle w:val="ESSPTableText"/>
              <w:keepNext w:val="0"/>
            </w:pPr>
            <w:r>
              <w:t>100</w:t>
            </w:r>
          </w:p>
        </w:tc>
        <w:tc>
          <w:tcPr>
            <w:tcW w:w="2231" w:type="dxa"/>
            <w:tcBorders>
              <w:top w:val="nil"/>
              <w:left w:val="nil"/>
              <w:bottom w:val="single" w:sz="4" w:space="0" w:color="auto"/>
              <w:right w:val="single" w:sz="4" w:space="0" w:color="auto"/>
            </w:tcBorders>
            <w:shd w:val="clear" w:color="auto" w:fill="auto"/>
            <w:noWrap/>
            <w:vAlign w:val="bottom"/>
            <w:hideMark/>
          </w:tcPr>
          <w:p w14:paraId="7050D078" w14:textId="77777777" w:rsidR="00DB15E9" w:rsidRDefault="0078312E">
            <w:pPr>
              <w:pStyle w:val="ESSPTableText"/>
              <w:keepNext w:val="0"/>
            </w:pPr>
            <w:r>
              <w:t>-50</w:t>
            </w:r>
          </w:p>
        </w:tc>
        <w:tc>
          <w:tcPr>
            <w:tcW w:w="1620" w:type="dxa"/>
            <w:tcBorders>
              <w:top w:val="nil"/>
              <w:left w:val="nil"/>
              <w:bottom w:val="single" w:sz="4" w:space="0" w:color="auto"/>
              <w:right w:val="single" w:sz="4" w:space="0" w:color="auto"/>
            </w:tcBorders>
            <w:shd w:val="clear" w:color="auto" w:fill="auto"/>
            <w:noWrap/>
            <w:vAlign w:val="bottom"/>
            <w:hideMark/>
          </w:tcPr>
          <w:p w14:paraId="675A83B4" w14:textId="77777777" w:rsidR="00DB15E9" w:rsidRDefault="0078312E">
            <w:pPr>
              <w:pStyle w:val="ESSPTableText"/>
              <w:keepNext w:val="0"/>
            </w:pPr>
            <w:r>
              <w:t>96</w:t>
            </w:r>
          </w:p>
        </w:tc>
        <w:tc>
          <w:tcPr>
            <w:tcW w:w="1530" w:type="dxa"/>
            <w:tcBorders>
              <w:top w:val="nil"/>
              <w:left w:val="nil"/>
              <w:bottom w:val="single" w:sz="4" w:space="0" w:color="auto"/>
              <w:right w:val="single" w:sz="8" w:space="0" w:color="auto"/>
            </w:tcBorders>
            <w:shd w:val="clear" w:color="auto" w:fill="auto"/>
            <w:noWrap/>
            <w:vAlign w:val="bottom"/>
            <w:hideMark/>
          </w:tcPr>
          <w:p w14:paraId="167B70D4" w14:textId="77777777" w:rsidR="00DB15E9" w:rsidRDefault="0078312E">
            <w:pPr>
              <w:pStyle w:val="ESSPTableText"/>
              <w:keepNext w:val="0"/>
            </w:pPr>
            <w:r>
              <w:t>191</w:t>
            </w:r>
          </w:p>
        </w:tc>
      </w:tr>
      <w:tr w:rsidR="00DB15E9" w14:paraId="27F9659A" w14:textId="77777777">
        <w:trPr>
          <w:trHeight w:val="300"/>
          <w:jc w:val="center"/>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14:paraId="6B61EA93" w14:textId="77777777" w:rsidR="00DB15E9" w:rsidRDefault="0078312E">
            <w:pPr>
              <w:pStyle w:val="ESSPTableText"/>
              <w:keepNext w:val="0"/>
            </w:pPr>
            <w:r>
              <w:t>100</w:t>
            </w:r>
          </w:p>
        </w:tc>
        <w:tc>
          <w:tcPr>
            <w:tcW w:w="2231" w:type="dxa"/>
            <w:tcBorders>
              <w:top w:val="nil"/>
              <w:left w:val="nil"/>
              <w:bottom w:val="single" w:sz="8" w:space="0" w:color="auto"/>
              <w:right w:val="single" w:sz="4" w:space="0" w:color="auto"/>
            </w:tcBorders>
            <w:shd w:val="clear" w:color="auto" w:fill="auto"/>
            <w:noWrap/>
            <w:vAlign w:val="bottom"/>
            <w:hideMark/>
          </w:tcPr>
          <w:p w14:paraId="2670F899" w14:textId="77777777" w:rsidR="00DB15E9" w:rsidRDefault="0078312E">
            <w:pPr>
              <w:pStyle w:val="ESSPTableText"/>
              <w:keepNext w:val="0"/>
            </w:pPr>
            <w:r>
              <w:t>-60</w:t>
            </w:r>
          </w:p>
        </w:tc>
        <w:tc>
          <w:tcPr>
            <w:tcW w:w="1620" w:type="dxa"/>
            <w:tcBorders>
              <w:top w:val="nil"/>
              <w:left w:val="nil"/>
              <w:bottom w:val="single" w:sz="8" w:space="0" w:color="auto"/>
              <w:right w:val="single" w:sz="4" w:space="0" w:color="auto"/>
            </w:tcBorders>
            <w:shd w:val="clear" w:color="auto" w:fill="auto"/>
            <w:noWrap/>
            <w:vAlign w:val="bottom"/>
            <w:hideMark/>
          </w:tcPr>
          <w:p w14:paraId="56FDCE56" w14:textId="77777777" w:rsidR="00DB15E9" w:rsidRDefault="0078312E">
            <w:pPr>
              <w:pStyle w:val="ESSPTableText"/>
              <w:keepNext w:val="0"/>
            </w:pPr>
            <w:r>
              <w:t>98</w:t>
            </w:r>
          </w:p>
        </w:tc>
        <w:tc>
          <w:tcPr>
            <w:tcW w:w="1530" w:type="dxa"/>
            <w:tcBorders>
              <w:top w:val="nil"/>
              <w:left w:val="nil"/>
              <w:bottom w:val="single" w:sz="8" w:space="0" w:color="auto"/>
              <w:right w:val="single" w:sz="8" w:space="0" w:color="auto"/>
            </w:tcBorders>
            <w:shd w:val="clear" w:color="auto" w:fill="auto"/>
            <w:noWrap/>
            <w:vAlign w:val="bottom"/>
            <w:hideMark/>
          </w:tcPr>
          <w:p w14:paraId="61E1A164" w14:textId="77777777" w:rsidR="00DB15E9" w:rsidRDefault="0078312E">
            <w:pPr>
              <w:pStyle w:val="ESSPTableText"/>
              <w:keepNext w:val="0"/>
            </w:pPr>
            <w:r>
              <w:t>196</w:t>
            </w:r>
          </w:p>
        </w:tc>
      </w:tr>
    </w:tbl>
    <w:p w14:paraId="25BB8A7B" w14:textId="77777777" w:rsidR="00DB15E9" w:rsidRDefault="0078312E">
      <w:pPr>
        <w:pStyle w:val="ESSPFigure"/>
      </w:pPr>
      <w:r>
        <w:lastRenderedPageBreak/>
        <w:drawing>
          <wp:inline distT="0" distB="0" distL="0" distR="0" wp14:anchorId="7B48F188" wp14:editId="3866FB7F">
            <wp:extent cx="5463725" cy="31967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913"/>
                    <a:stretch/>
                  </pic:blipFill>
                  <pic:spPr bwMode="auto">
                    <a:xfrm>
                      <a:off x="0" y="0"/>
                      <a:ext cx="5491977" cy="3213272"/>
                    </a:xfrm>
                    <a:prstGeom prst="rect">
                      <a:avLst/>
                    </a:prstGeom>
                    <a:noFill/>
                    <a:ln>
                      <a:noFill/>
                    </a:ln>
                    <a:extLst>
                      <a:ext uri="{53640926-AAD7-44D8-BBD7-CCE9431645EC}">
                        <a14:shadowObscured xmlns:a14="http://schemas.microsoft.com/office/drawing/2010/main"/>
                      </a:ext>
                    </a:extLst>
                  </pic:spPr>
                </pic:pic>
              </a:graphicData>
            </a:graphic>
          </wp:inline>
        </w:drawing>
      </w:r>
    </w:p>
    <w:p w14:paraId="26BC59BE" w14:textId="77777777" w:rsidR="00DB15E9" w:rsidRDefault="0078312E">
      <w:pPr>
        <w:pStyle w:val="ESSPFigureCaption"/>
      </w:pPr>
      <w:bookmarkStart w:id="279" w:name="_Toc471971593"/>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2</w:t>
      </w:r>
      <w:r>
        <w:rPr>
          <w:rFonts w:ascii="Helvetica" w:hAnsi="Helvetica"/>
        </w:rPr>
        <w:fldChar w:fldCharType="end"/>
      </w:r>
      <w:r>
        <w:rPr>
          <w:rFonts w:ascii="Helvetica" w:hAnsi="Helvetica"/>
        </w:rPr>
        <w:t>:</w:t>
      </w:r>
      <w:r>
        <w:t xml:space="preserve"> Worst-case Backloading on Payload Radiator</w:t>
      </w:r>
      <w:bookmarkEnd w:id="279"/>
    </w:p>
    <w:p w14:paraId="22CB8553" w14:textId="77777777" w:rsidR="00DB15E9" w:rsidRDefault="0078312E">
      <w:pPr>
        <w:pStyle w:val="Heading3"/>
      </w:pPr>
      <w:bookmarkStart w:id="280" w:name="_Toc471910878"/>
      <w:r>
        <w:t>Temperature Maintenance Responsibility</w:t>
      </w:r>
      <w:bookmarkEnd w:id="280"/>
    </w:p>
    <w:p w14:paraId="74C67693" w14:textId="77777777" w:rsidR="00DB15E9" w:rsidRDefault="0078312E">
      <w:pPr>
        <w:pStyle w:val="Requirement"/>
      </w:pPr>
      <w:r>
        <w:t>The Instrument should maintain its own instrument temperature requirements.</w:t>
      </w:r>
    </w:p>
    <w:p w14:paraId="7CBFD2CB" w14:textId="77777777" w:rsidR="00DB15E9" w:rsidRDefault="0078312E">
      <w:pPr>
        <w:pStyle w:val="ESSPBodyText"/>
      </w:pPr>
      <w:r>
        <w:t>Rationale: As a thermally isolated payload, the Instrument has to manage its own thermal properties without support from the Host Spacecraft.</w:t>
      </w:r>
    </w:p>
    <w:p w14:paraId="6606BD70" w14:textId="77777777" w:rsidR="00DB15E9" w:rsidRDefault="0078312E">
      <w:pPr>
        <w:pStyle w:val="Heading3"/>
      </w:pPr>
      <w:bookmarkStart w:id="281" w:name="_Toc471910879"/>
      <w:r>
        <w:t>Instrument Allowable Temperatures</w:t>
      </w:r>
      <w:bookmarkEnd w:id="281"/>
    </w:p>
    <w:p w14:paraId="2B9E7018" w14:textId="77777777" w:rsidR="00DB15E9" w:rsidRDefault="0078312E">
      <w:pPr>
        <w:pStyle w:val="Requirement"/>
      </w:pPr>
      <w:r>
        <w:t>The TICD will document the allowable temperature ranges that the Instrument will maintain in each operational mode/state.</w:t>
      </w:r>
    </w:p>
    <w:p w14:paraId="783F0C9A" w14:textId="77777777" w:rsidR="00DB15E9" w:rsidRDefault="0078312E">
      <w:pPr>
        <w:pStyle w:val="ESSPBodyText"/>
      </w:pPr>
      <w:r>
        <w:t>Rationale: Defining the instrument allowable temperatures drives the performance requirements for the thermal management systems for both the Instrument as well as the Host Spacecraft.</w:t>
      </w:r>
    </w:p>
    <w:p w14:paraId="25D35F84" w14:textId="77777777" w:rsidR="00DB15E9" w:rsidRDefault="0078312E">
      <w:pPr>
        <w:pStyle w:val="Heading3"/>
      </w:pPr>
      <w:bookmarkStart w:id="282" w:name="_Toc471910880"/>
      <w:r>
        <w:t>Thermal Control Hardware Responsibility</w:t>
      </w:r>
      <w:bookmarkEnd w:id="282"/>
    </w:p>
    <w:p w14:paraId="39041043" w14:textId="77777777" w:rsidR="00DB15E9" w:rsidRDefault="0078312E">
      <w:pPr>
        <w:pStyle w:val="Requirement"/>
      </w:pPr>
      <w:r>
        <w:t>The Instrument Provider should provide and install all Instrument thermal control hardware including blankets, temperature sensors, louvers, heat pipes, radiators, and coatings.</w:t>
      </w:r>
    </w:p>
    <w:p w14:paraId="6BF0B4DA" w14:textId="77777777" w:rsidR="00DB15E9" w:rsidRDefault="0078312E">
      <w:pPr>
        <w:pStyle w:val="ESSPBodyText"/>
      </w:pPr>
      <w:r>
        <w:t>Rationale: This responsibility naturally follows the responsibility for the instrument thermal design and maintaining the temperature requirements of the instrument.</w:t>
      </w:r>
    </w:p>
    <w:p w14:paraId="0C56F939" w14:textId="77777777" w:rsidR="00DB15E9" w:rsidRDefault="0078312E">
      <w:pPr>
        <w:pStyle w:val="Heading2"/>
      </w:pPr>
      <w:bookmarkStart w:id="283" w:name="_Toc471910881"/>
      <w:r>
        <w:t xml:space="preserve">Attitude </w:t>
      </w:r>
      <w:commentRangeStart w:id="284"/>
      <w:r>
        <w:t>Control</w:t>
      </w:r>
      <w:commentRangeEnd w:id="284"/>
      <w:r>
        <w:rPr>
          <w:rStyle w:val="CommentReference"/>
          <w:rFonts w:ascii="Arial" w:hAnsi="Arial"/>
          <w:b w:val="0"/>
          <w:bCs w:val="0"/>
          <w:iCs w:val="0"/>
        </w:rPr>
        <w:commentReference w:id="284"/>
      </w:r>
      <w:bookmarkEnd w:id="283"/>
    </w:p>
    <w:p w14:paraId="7FA3B414" w14:textId="77777777" w:rsidR="00DB15E9" w:rsidRDefault="0078312E">
      <w:pPr>
        <w:pStyle w:val="Heading3"/>
      </w:pPr>
      <w:bookmarkStart w:id="285" w:name="_Toc471910882"/>
      <w:r>
        <w:t>Attitude Control System Pointing Accommodation</w:t>
      </w:r>
      <w:bookmarkEnd w:id="285"/>
    </w:p>
    <w:p w14:paraId="46406232" w14:textId="77777777" w:rsidR="00DB15E9" w:rsidRDefault="0078312E">
      <w:pPr>
        <w:pStyle w:val="Requirement"/>
      </w:pPr>
      <w:r>
        <w:t>The Instrument 3σ pointing accuracy required should exceed 1440 seconds of arc (0.4 degrees) in each of the Host Spacecraft roll, pitch, and yaw axes.</w:t>
      </w:r>
    </w:p>
    <w:p w14:paraId="2F03E69E" w14:textId="77777777" w:rsidR="00DB15E9" w:rsidRDefault="0078312E">
      <w:pPr>
        <w:pStyle w:val="ESSPBodyText"/>
      </w:pPr>
      <w:r>
        <w:lastRenderedPageBreak/>
        <w:t>Rationale: The Host Spacecraft bus pointing accuracy varies significantly both by manufacturer and by spacecraft bus configuration.</w:t>
      </w:r>
      <w:r>
        <w:rPr>
          <w:rFonts w:ascii="Times New Roman" w:hAnsi="Times New Roman"/>
          <w:szCs w:val="24"/>
        </w:rPr>
        <w:t xml:space="preserve"> </w:t>
      </w:r>
      <w:r>
        <w:t>1440 arc-seconds represents a pointing accuracy that all of the Primary Manufacturers’ buses can achieve.</w:t>
      </w:r>
      <w:r>
        <w:rPr>
          <w:rFonts w:ascii="Times New Roman" w:hAnsi="Times New Roman"/>
          <w:szCs w:val="24"/>
        </w:rPr>
        <w:t xml:space="preserve"> </w:t>
      </w:r>
      <w:r>
        <w:t>If an Instrument requires a pointing accuracy that is equivalent to or less stringent than this value, then the likelihood of finding a suitable Host Spacecraft increases significantly</w:t>
      </w:r>
      <w:r>
        <w:rPr>
          <w:color w:val="FF6600"/>
        </w:rPr>
        <w:t>.</w:t>
      </w:r>
    </w:p>
    <w:p w14:paraId="43B2F5B1" w14:textId="77777777" w:rsidR="00DB15E9" w:rsidRDefault="0078312E">
      <w:pPr>
        <w:pStyle w:val="Heading3"/>
      </w:pPr>
      <w:bookmarkStart w:id="286" w:name="_Toc471910883"/>
      <w:r>
        <w:t>Attitude Determination System Pointing Knowledge Accommodation</w:t>
      </w:r>
      <w:bookmarkEnd w:id="286"/>
    </w:p>
    <w:p w14:paraId="43886D47" w14:textId="77777777" w:rsidR="00DB15E9" w:rsidRDefault="0078312E">
      <w:pPr>
        <w:pStyle w:val="Requirement"/>
      </w:pPr>
      <w:r>
        <w:t>The Instrument 3σ pointing knowledge required should exceed 450 seconds of arc (0.125 degrees) in the Host Spacecraft roll and pitch axes and 900 seconds of arc (0.25 degrees) in the yaw axis.</w:t>
      </w:r>
    </w:p>
    <w:p w14:paraId="63D51ECC" w14:textId="77777777" w:rsidR="00DB15E9" w:rsidRDefault="0078312E">
      <w:pPr>
        <w:pStyle w:val="ESSPBodyText"/>
      </w:pPr>
      <w:r>
        <w:t>Rationale: The Host Spacecraft bus pointing knowledge varies significantly both by manufacturer and by spacecraft bus configuration.</w:t>
      </w:r>
      <w:r>
        <w:rPr>
          <w:rFonts w:ascii="Times New Roman" w:hAnsi="Times New Roman"/>
          <w:szCs w:val="24"/>
        </w:rPr>
        <w:t xml:space="preserve"> </w:t>
      </w:r>
      <w:r>
        <w:t>450 arc-seconds (roll/pitch) and 900 arc-seconds (yaw) represent a pointing knowledge that all of the Primary Manufacturers’ buses can achieve.</w:t>
      </w:r>
      <w:r>
        <w:rPr>
          <w:rFonts w:ascii="Times New Roman" w:hAnsi="Times New Roman"/>
          <w:szCs w:val="24"/>
        </w:rPr>
        <w:t xml:space="preserve"> </w:t>
      </w:r>
      <w:r>
        <w:t>If an Instrument requires a pointing knowledge that is equivalent to or less stringent than this value, then the likelihood of finding a suitable Host Spacecraft increases significantly.</w:t>
      </w:r>
      <w:r>
        <w:rPr>
          <w:rFonts w:ascii="Times New Roman" w:hAnsi="Times New Roman"/>
          <w:szCs w:val="24"/>
        </w:rPr>
        <w:t xml:space="preserve"> </w:t>
      </w:r>
    </w:p>
    <w:p w14:paraId="020B686E" w14:textId="77777777" w:rsidR="00DB15E9" w:rsidRDefault="0078312E">
      <w:pPr>
        <w:pStyle w:val="Heading3"/>
      </w:pPr>
      <w:bookmarkStart w:id="287" w:name="_Toc471910884"/>
      <w:r>
        <w:t>Payload Pointing Stability Accommodation</w:t>
      </w:r>
      <w:bookmarkEnd w:id="287"/>
    </w:p>
    <w:p w14:paraId="0AB20228" w14:textId="77777777" w:rsidR="00DB15E9" w:rsidRDefault="0078312E">
      <w:pPr>
        <w:pStyle w:val="Requirement"/>
      </w:pPr>
      <w:r>
        <w:t>The Instrument short term (≥ 0.1 Hz) 3σ pointing stability required should be greater than or equal to 110 seconds of arc/second (0.03 degrees/second) in each Host Spacecraft axis.</w:t>
      </w:r>
    </w:p>
    <w:p w14:paraId="6A0962DE" w14:textId="77777777" w:rsidR="00DB15E9" w:rsidRDefault="0078312E">
      <w:pPr>
        <w:pStyle w:val="Requirement"/>
      </w:pPr>
      <w:r>
        <w:t>The Instrument long term (Diurnal) 3σ pointing stability required should be greater than or equal to 440 seconds of arc (0.12 degrees/second) in each Host Spacecraft axis.</w:t>
      </w:r>
    </w:p>
    <w:p w14:paraId="0522C12C" w14:textId="77777777" w:rsidR="00DB15E9" w:rsidRDefault="0078312E">
      <w:pPr>
        <w:pStyle w:val="ESSPBodyText"/>
      </w:pPr>
      <w:r>
        <w:t>Rationale: Host Spacecraft pointing stability varies significantly both by manufacturer and by bus configuration. In order to maximize the probability of pairing with an available HPO, an instrument should be compatible with the maximum pointing stability defined for all responding Host Spacecraft Manufacturers’ buses and configurations.</w:t>
      </w:r>
      <w:r>
        <w:rPr>
          <w:rFonts w:ascii="Times New Roman" w:hAnsi="Times New Roman"/>
          <w:szCs w:val="24"/>
        </w:rPr>
        <w:t xml:space="preserve"> </w:t>
      </w:r>
      <w:r>
        <w:t>According to information provided by industry, the level of short-term (≥ 0.1 Hz) pointing stability available for secondary hosted payloads is greater than or equal to 110 seconds of arc/second (0.03 degrees/second) in each of the spacecraft axes.</w:t>
      </w:r>
      <w:r>
        <w:rPr>
          <w:rFonts w:ascii="Times New Roman" w:hAnsi="Times New Roman"/>
          <w:szCs w:val="24"/>
        </w:rPr>
        <w:t xml:space="preserve"> </w:t>
      </w:r>
      <w:r>
        <w:t>The level of long-term (Diurnal) pointing stability available for secondary hosted payloads is greater than or equal to 440 seconds of arc/second (0.12 degrees/second) in each of the spacecraft axes.</w:t>
      </w:r>
      <w:r>
        <w:rPr>
          <w:rFonts w:ascii="Times New Roman" w:hAnsi="Times New Roman"/>
          <w:szCs w:val="24"/>
        </w:rPr>
        <w:t xml:space="preserve"> </w:t>
      </w:r>
      <w:r>
        <w:t>Therefore, an Instrument pointing stability requirement greater than these values will ensure that any prospective Host Spacecraft bus can accommodate the Instrument</w:t>
      </w:r>
      <w:r>
        <w:rPr>
          <w:color w:val="FF6600"/>
        </w:rPr>
        <w:t>.</w:t>
      </w:r>
    </w:p>
    <w:p w14:paraId="21597A12" w14:textId="77777777" w:rsidR="00DB15E9" w:rsidRDefault="0078312E">
      <w:pPr>
        <w:pStyle w:val="Heading2"/>
      </w:pPr>
      <w:bookmarkStart w:id="288" w:name="_Toc471910885"/>
      <w:r>
        <w:t>Instrument Models</w:t>
      </w:r>
      <w:bookmarkEnd w:id="288"/>
    </w:p>
    <w:p w14:paraId="00ACCA27" w14:textId="77777777" w:rsidR="00DB15E9" w:rsidRDefault="0078312E">
      <w:pPr>
        <w:pStyle w:val="Requirement"/>
      </w:pPr>
      <w:r>
        <w:t>The Instrument Developer should submit finite element, thermal math, mechanical computer aided design, and mass models of the instrument to the Host Spacecraft manufacturer/integrator.</w:t>
      </w:r>
    </w:p>
    <w:p w14:paraId="7FD3E3D3" w14:textId="77777777" w:rsidR="00DB15E9" w:rsidRDefault="0078312E">
      <w:pPr>
        <w:pStyle w:val="ESSPBodyText"/>
      </w:pPr>
      <w:r>
        <w:t>Rationale: The Host Spacecraft manufacturer/integrator requires models of all spacecraft components in order to complete the design portion of the spacecraft lifecycle.</w:t>
      </w:r>
    </w:p>
    <w:p w14:paraId="7ED8158D" w14:textId="77777777" w:rsidR="00DB15E9" w:rsidRDefault="0078312E">
      <w:pPr>
        <w:pStyle w:val="Heading2"/>
        <w:spacing w:before="120" w:after="0"/>
      </w:pPr>
      <w:bookmarkStart w:id="289" w:name="_Toc471910886"/>
      <w:r>
        <w:t>Environmental Guidelines</w:t>
      </w:r>
      <w:bookmarkEnd w:id="289"/>
    </w:p>
    <w:p w14:paraId="42BFD05D" w14:textId="77777777" w:rsidR="00DB15E9" w:rsidRDefault="0078312E">
      <w:pPr>
        <w:pStyle w:val="Heading3"/>
      </w:pPr>
      <w:bookmarkStart w:id="290" w:name="_Toc471910887"/>
      <w:r>
        <w:t>Assumptions</w:t>
      </w:r>
      <w:bookmarkEnd w:id="290"/>
    </w:p>
    <w:p w14:paraId="53A9494A" w14:textId="77777777" w:rsidR="00DB15E9" w:rsidRDefault="0078312E">
      <w:pPr>
        <w:pStyle w:val="ESSPBodyText"/>
      </w:pPr>
      <w:r>
        <w:t>The HPIG environmental guidelines assume the following regarding the Host Spacecraft, launch vehicle, and/or integration and test facilities:</w:t>
      </w:r>
    </w:p>
    <w:p w14:paraId="206D7CFE" w14:textId="77777777" w:rsidR="00DB15E9" w:rsidRDefault="0078312E">
      <w:pPr>
        <w:pStyle w:val="ESSPNumberedList"/>
        <w:numPr>
          <w:ilvl w:val="0"/>
          <w:numId w:val="13"/>
        </w:numPr>
      </w:pPr>
      <w:r>
        <w:lastRenderedPageBreak/>
        <w:t>During the pairing process, the Host Spacecraft Manufacturer/Systems Integrator and the Instrument Developer will negotiate detailed parameters of the environmental interface.</w:t>
      </w:r>
      <w:r>
        <w:rPr>
          <w:rFonts w:ascii="Times New Roman" w:hAnsi="Times New Roman"/>
          <w:szCs w:val="24"/>
        </w:rPr>
        <w:t xml:space="preserve"> </w:t>
      </w:r>
      <w:r>
        <w:t>The Environmental Requirements Document (ERD) will record those parameters and decisions.</w:t>
      </w:r>
    </w:p>
    <w:p w14:paraId="2360DF56" w14:textId="77777777" w:rsidR="00DB15E9" w:rsidRDefault="0078312E">
      <w:pPr>
        <w:pStyle w:val="ESSPBodyText"/>
      </w:pPr>
      <w:r>
        <w:t>Note: the design of the Instrument modes of operation are the responsibility of the Instrument Developer.</w:t>
      </w:r>
      <w:r>
        <w:rPr>
          <w:rFonts w:ascii="Times New Roman" w:hAnsi="Times New Roman"/>
          <w:szCs w:val="24"/>
        </w:rPr>
        <w:t xml:space="preserve"> </w:t>
      </w:r>
      <w:r>
        <w:t xml:space="preserve">For purposes of illustration, the operational modes in this section are equivalent to the Instrument modes and states as defined in </w:t>
      </w:r>
      <w:r>
        <w:rPr>
          <w:rStyle w:val="ESSPBodyTextChar"/>
        </w:rPr>
        <w:fldChar w:fldCharType="begin"/>
      </w:r>
      <w:r>
        <w:rPr>
          <w:rStyle w:val="ESSPBodyTextChar"/>
        </w:rPr>
        <w:instrText xml:space="preserve"> REF _Ref296351496 \r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Appendix D</w:t>
      </w:r>
      <w:r>
        <w:rPr>
          <w:rStyle w:val="ESSPBodyTextChar"/>
        </w:rPr>
        <w:fldChar w:fldCharType="end"/>
      </w:r>
      <w:r>
        <w:t>.</w:t>
      </w:r>
    </w:p>
    <w:p w14:paraId="5664AF85" w14:textId="77777777" w:rsidR="00DB15E9" w:rsidRDefault="0078312E">
      <w:pPr>
        <w:pStyle w:val="Heading3"/>
      </w:pPr>
      <w:bookmarkStart w:id="291" w:name="_Toc471910888"/>
      <w:r>
        <w:t>Shipping/Storage Environment</w:t>
      </w:r>
      <w:bookmarkEnd w:id="291"/>
    </w:p>
    <w:p w14:paraId="6FAE73E1" w14:textId="77777777" w:rsidR="00DB15E9" w:rsidRDefault="0078312E">
      <w:pPr>
        <w:pStyle w:val="ESSPBodyText"/>
      </w:pPr>
      <w:r>
        <w:t>The Shipping/Storage Environment represents the time in the Instrument’s lifecycle between when it departs the Instrument Developer’s facility and arrives at the facility of the Host Spacecraft Manufacturer/Systems Integrator.</w:t>
      </w:r>
      <w:r>
        <w:rPr>
          <w:rFonts w:ascii="Times New Roman" w:hAnsi="Times New Roman"/>
          <w:szCs w:val="24"/>
        </w:rPr>
        <w:t xml:space="preserve"> </w:t>
      </w:r>
      <w:r>
        <w:t xml:space="preserve">The Instrument is dormant and attached mechanically to its container (see </w:t>
      </w:r>
      <w:r w:rsidR="00BA5284">
        <w:fldChar w:fldCharType="begin"/>
      </w:r>
      <w:r w:rsidR="00BA5284">
        <w:instrText xml:space="preserve"> REF _Ref453064758  \* MERGEFORMAT </w:instrText>
      </w:r>
      <w:r w:rsidR="00BA5284">
        <w:fldChar w:fldCharType="separate"/>
      </w:r>
      <w:r>
        <w:t xml:space="preserve">Figure </w:t>
      </w:r>
      <w:r>
        <w:rPr>
          <w:noProof/>
        </w:rPr>
        <w:t>3</w:t>
      </w:r>
      <w:r>
        <w:noBreakHyphen/>
      </w:r>
      <w:r>
        <w:rPr>
          <w:noProof/>
        </w:rPr>
        <w:t>3</w:t>
      </w:r>
      <w:r w:rsidR="00BA5284">
        <w:rPr>
          <w:noProof/>
        </w:rPr>
        <w:fldChar w:fldCharType="end"/>
      </w:r>
      <w:r>
        <w:t>).</w:t>
      </w:r>
    </w:p>
    <w:p w14:paraId="12A07487" w14:textId="77777777" w:rsidR="00DB15E9" w:rsidRDefault="0078312E">
      <w:pPr>
        <w:pStyle w:val="ESSPFigure"/>
        <w:rPr>
          <w:rFonts w:ascii="Helvetica" w:hAnsi="Helvetica"/>
          <w:noProof w:val="0"/>
        </w:rPr>
      </w:pPr>
      <w:r>
        <w:drawing>
          <wp:inline distT="0" distB="0" distL="0" distR="0" wp14:anchorId="61CB122C" wp14:editId="4685166C">
            <wp:extent cx="4100162" cy="50767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4727" cy="5107164"/>
                    </a:xfrm>
                    <a:prstGeom prst="rect">
                      <a:avLst/>
                    </a:prstGeom>
                    <a:noFill/>
                    <a:ln>
                      <a:noFill/>
                    </a:ln>
                  </pic:spPr>
                </pic:pic>
              </a:graphicData>
            </a:graphic>
          </wp:inline>
        </w:drawing>
      </w:r>
    </w:p>
    <w:p w14:paraId="30A32733" w14:textId="77777777" w:rsidR="00DB15E9" w:rsidRDefault="0078312E">
      <w:pPr>
        <w:pStyle w:val="ESSPFigureCaption"/>
        <w:rPr>
          <w:rFonts w:ascii="Helvetica" w:hAnsi="Helvetica"/>
        </w:rPr>
      </w:pPr>
      <w:bookmarkStart w:id="292" w:name="_Ref453064758"/>
      <w:bookmarkStart w:id="293" w:name="_Toc471971594"/>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3</w:t>
      </w:r>
      <w:r>
        <w:rPr>
          <w:rFonts w:ascii="Helvetica" w:hAnsi="Helvetica"/>
        </w:rPr>
        <w:fldChar w:fldCharType="end"/>
      </w:r>
      <w:bookmarkEnd w:id="292"/>
      <w:r>
        <w:rPr>
          <w:rFonts w:ascii="Helvetica" w:hAnsi="Helvetica"/>
        </w:rPr>
        <w:t>: Shipping / Storage Environment</w:t>
      </w:r>
      <w:bookmarkEnd w:id="293"/>
    </w:p>
    <w:p w14:paraId="7E23A64A" w14:textId="77777777" w:rsidR="00DB15E9" w:rsidRDefault="0078312E">
      <w:pPr>
        <w:pStyle w:val="Heading4"/>
      </w:pPr>
      <w:bookmarkStart w:id="294" w:name="_Toc471910889"/>
      <w:r>
        <w:lastRenderedPageBreak/>
        <w:t>Documentation</w:t>
      </w:r>
      <w:bookmarkEnd w:id="294"/>
    </w:p>
    <w:p w14:paraId="38AF7220" w14:textId="77777777" w:rsidR="00DB15E9" w:rsidRDefault="0078312E">
      <w:pPr>
        <w:pStyle w:val="Requirement"/>
      </w:pPr>
      <w:r>
        <w:t>The ERD will document the maximum allowable environment the Instrument will experience between the departure from the Instrument assembly facility and arrival at the Host Spacecraft integration facility.</w:t>
      </w:r>
    </w:p>
    <w:p w14:paraId="3DB9F83D" w14:textId="77777777" w:rsidR="00DB15E9" w:rsidRDefault="0078312E">
      <w:pPr>
        <w:pStyle w:val="ESSPBodyText"/>
      </w:pPr>
      <w:r>
        <w:t>Rationale: The nature of the Shipping/Storage Environment depends upon the point at which physical custody of the Instrument transfers from Instrument Developer to the Satellite Contractor/Systems Integrator as well as negotiated agreements on shipping/storage procedures.</w:t>
      </w:r>
    </w:p>
    <w:p w14:paraId="227501FF" w14:textId="77777777" w:rsidR="00DB15E9" w:rsidRDefault="0078312E">
      <w:pPr>
        <w:pStyle w:val="ESSPBodyText"/>
      </w:pPr>
      <w:r>
        <w:t>The interfaces associated with the shipping/storage environment include the allowable temperatures and the characteristics of the associated atmosphere.</w:t>
      </w:r>
    </w:p>
    <w:p w14:paraId="7DDA5233" w14:textId="77777777" w:rsidR="00DB15E9" w:rsidRDefault="0078312E">
      <w:pPr>
        <w:pStyle w:val="Heading4"/>
      </w:pPr>
      <w:bookmarkStart w:id="295" w:name="_Toc471910890"/>
      <w:r>
        <w:t>Instrument Configuration</w:t>
      </w:r>
      <w:bookmarkEnd w:id="295"/>
    </w:p>
    <w:p w14:paraId="3B906211" w14:textId="77777777" w:rsidR="00DB15E9" w:rsidRDefault="0078312E">
      <w:pPr>
        <w:pStyle w:val="Requirement"/>
      </w:pPr>
      <w:r>
        <w:t>The ERD will document the configuration and operational state of the Instrument during the Shipping/Storage phase.</w:t>
      </w:r>
    </w:p>
    <w:p w14:paraId="2D0F039D" w14:textId="77777777" w:rsidR="00DB15E9" w:rsidRDefault="0078312E">
      <w:pPr>
        <w:pStyle w:val="ESSPBodyText"/>
      </w:pPr>
      <w:r>
        <w:t>Rationale: Specifying the configuration of the Instrument during shipping/storage drives the volume requirements for the container as well as any associated support equipment and required services.</w:t>
      </w:r>
    </w:p>
    <w:p w14:paraId="340A64EB" w14:textId="77777777" w:rsidR="00DB15E9" w:rsidRDefault="0078312E">
      <w:pPr>
        <w:pStyle w:val="ESSPBodyText"/>
      </w:pPr>
      <w:r>
        <w:t xml:space="preserve">The Instrument will likely be in the </w:t>
      </w:r>
      <w:r>
        <w:rPr>
          <w:smallCaps/>
        </w:rPr>
        <w:t>Off/Survival</w:t>
      </w:r>
      <w:r>
        <w:t xml:space="preserve"> mode while in this environment.</w:t>
      </w:r>
    </w:p>
    <w:p w14:paraId="0DCE5EC5" w14:textId="77777777" w:rsidR="00DB15E9" w:rsidRDefault="0078312E">
      <w:pPr>
        <w:pStyle w:val="Heading3"/>
      </w:pPr>
      <w:bookmarkStart w:id="296" w:name="_Toc471910891"/>
      <w:r>
        <w:t>Integration and Test Environment</w:t>
      </w:r>
      <w:bookmarkEnd w:id="296"/>
    </w:p>
    <w:p w14:paraId="41166569" w14:textId="77777777" w:rsidR="00DB15E9" w:rsidRDefault="0078312E">
      <w:pPr>
        <w:pStyle w:val="ESSPBodyText"/>
      </w:pPr>
      <w:r>
        <w:t>The Integration and Test Environment represents the time in the Instrument’s lifecycle between when it arrives at the facility of the Host Spacecraft Manufacturer/Systems Integrator through payload encapsulation at the launch facility.</w:t>
      </w:r>
      <w:r>
        <w:rPr>
          <w:rFonts w:ascii="Times New Roman" w:hAnsi="Times New Roman"/>
          <w:szCs w:val="24"/>
        </w:rPr>
        <w:t xml:space="preserve"> </w:t>
      </w:r>
      <w:r>
        <w:t>During this phase, the Host Spacecraft Manufacturer/Systems Integration will attach the Instrument to the spacecraft bus and verify that system performs as designed throughout various environmental and dynamics regimes.</w:t>
      </w:r>
      <w:r>
        <w:rPr>
          <w:rFonts w:ascii="Times New Roman" w:hAnsi="Times New Roman"/>
          <w:szCs w:val="24"/>
        </w:rPr>
        <w:t xml:space="preserve"> </w:t>
      </w:r>
      <w:r>
        <w:t xml:space="preserve">The Instrument may be attached to the spacecraft bus or to various ground support equipment that transmits power, thermal conditioning, and diagnostic data (see </w:t>
      </w:r>
      <w:r w:rsidR="00BA5284">
        <w:fldChar w:fldCharType="begin"/>
      </w:r>
      <w:r w:rsidR="00BA5284">
        <w:instrText xml:space="preserve"> REF _Ref453064779  \* MERGEFORMAT </w:instrText>
      </w:r>
      <w:r w:rsidR="00BA5284">
        <w:fldChar w:fldCharType="separate"/>
      </w:r>
      <w:r>
        <w:t>Figure 3</w:t>
      </w:r>
      <w:r>
        <w:noBreakHyphen/>
        <w:t>4</w:t>
      </w:r>
      <w:r w:rsidR="00BA5284">
        <w:fldChar w:fldCharType="end"/>
      </w:r>
      <w:r>
        <w:t>).</w:t>
      </w:r>
    </w:p>
    <w:p w14:paraId="133D4FAE" w14:textId="77777777" w:rsidR="00DB15E9" w:rsidRDefault="0078312E">
      <w:pPr>
        <w:pStyle w:val="ESSPBodyText"/>
      </w:pPr>
      <w:r>
        <w:t>The instrument should be designed to minimize integrated tests with the spacecraft during the system level I&amp;T phase.</w:t>
      </w:r>
      <w:r>
        <w:rPr>
          <w:rFonts w:ascii="Times New Roman" w:hAnsi="Times New Roman"/>
          <w:szCs w:val="24"/>
        </w:rPr>
        <w:t xml:space="preserve"> </w:t>
      </w:r>
      <w:r>
        <w:t>This is especially important during test activities in the environmental chambers.</w:t>
      </w:r>
      <w:r>
        <w:rPr>
          <w:rFonts w:ascii="Times New Roman" w:hAnsi="Times New Roman"/>
          <w:szCs w:val="24"/>
        </w:rPr>
        <w:t xml:space="preserve"> </w:t>
      </w:r>
      <w:r>
        <w:t>To the extent practical for the instrument, all performance testing should be performed prior to arrival at the spacecraft facility.</w:t>
      </w:r>
      <w:r>
        <w:rPr>
          <w:rFonts w:ascii="Times New Roman" w:hAnsi="Times New Roman"/>
          <w:szCs w:val="24"/>
        </w:rPr>
        <w:t xml:space="preserve"> </w:t>
      </w:r>
      <w:r>
        <w:t>Interface compatibility should be tested and the instrument should be powered down for the majority of spacecraft system level activities.</w:t>
      </w:r>
      <w:r>
        <w:rPr>
          <w:rFonts w:ascii="Times New Roman" w:hAnsi="Times New Roman"/>
          <w:szCs w:val="24"/>
        </w:rPr>
        <w:t xml:space="preserve"> </w:t>
      </w:r>
      <w:r>
        <w:t>This approach is to minimize schedule, cost, and complexity with the host.</w:t>
      </w:r>
    </w:p>
    <w:p w14:paraId="32267438" w14:textId="77777777" w:rsidR="00DB15E9" w:rsidRDefault="0078312E">
      <w:pPr>
        <w:pStyle w:val="ESSPFigure"/>
        <w:rPr>
          <w:rFonts w:ascii="Helvetica" w:hAnsi="Helvetica"/>
          <w:noProof w:val="0"/>
        </w:rPr>
      </w:pPr>
      <w:r>
        <w:lastRenderedPageBreak/>
        <w:drawing>
          <wp:inline distT="0" distB="0" distL="0" distR="0" wp14:anchorId="7ABA1169" wp14:editId="4F3AE3BA">
            <wp:extent cx="5089326" cy="49579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6703" cy="4965135"/>
                    </a:xfrm>
                    <a:prstGeom prst="rect">
                      <a:avLst/>
                    </a:prstGeom>
                    <a:noFill/>
                    <a:ln>
                      <a:noFill/>
                    </a:ln>
                  </pic:spPr>
                </pic:pic>
              </a:graphicData>
            </a:graphic>
          </wp:inline>
        </w:drawing>
      </w:r>
    </w:p>
    <w:p w14:paraId="0845500E" w14:textId="77777777" w:rsidR="00DB15E9" w:rsidRDefault="0078312E">
      <w:pPr>
        <w:pStyle w:val="ESSPFigureCaption"/>
        <w:rPr>
          <w:rFonts w:ascii="Helvetica" w:hAnsi="Helvetica"/>
        </w:rPr>
      </w:pPr>
      <w:bookmarkStart w:id="297" w:name="_Ref453064779"/>
      <w:bookmarkStart w:id="298" w:name="_Toc471971595"/>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4</w:t>
      </w:r>
      <w:r>
        <w:rPr>
          <w:rFonts w:ascii="Helvetica" w:hAnsi="Helvetica"/>
        </w:rPr>
        <w:fldChar w:fldCharType="end"/>
      </w:r>
      <w:bookmarkEnd w:id="297"/>
      <w:r>
        <w:rPr>
          <w:rFonts w:ascii="Helvetica" w:hAnsi="Helvetica"/>
        </w:rPr>
        <w:t>: Integration and Test Environment</w:t>
      </w:r>
      <w:bookmarkEnd w:id="298"/>
    </w:p>
    <w:p w14:paraId="661CD60A" w14:textId="77777777" w:rsidR="00DB15E9" w:rsidRDefault="0078312E">
      <w:pPr>
        <w:pStyle w:val="Heading4"/>
      </w:pPr>
      <w:bookmarkStart w:id="299" w:name="_Toc471910892"/>
      <w:r>
        <w:t>Documentation</w:t>
      </w:r>
      <w:bookmarkEnd w:id="299"/>
    </w:p>
    <w:p w14:paraId="7B4C3D3B" w14:textId="77777777" w:rsidR="00DB15E9" w:rsidRDefault="0078312E">
      <w:pPr>
        <w:pStyle w:val="Requirement"/>
      </w:pPr>
      <w:r>
        <w:t>The ERD will document the maximum allowable environments the Instrument will experience between arrival at the Host Spacecraft integration facility and Launch.</w:t>
      </w:r>
    </w:p>
    <w:p w14:paraId="36D60D73" w14:textId="77777777" w:rsidR="00DB15E9" w:rsidRDefault="0078312E">
      <w:pPr>
        <w:pStyle w:val="ESSPBodyText"/>
      </w:pPr>
      <w:r>
        <w:t>Rationale: The nature of the Integration and Test Environment depends upon the choice of Host Spacecraft and Launch Vehicle as well as the negotiated workflows at the Systems Integration and Launch facilities.</w:t>
      </w:r>
    </w:p>
    <w:p w14:paraId="4CCEC8EC" w14:textId="77777777" w:rsidR="00DB15E9" w:rsidRDefault="0078312E">
      <w:pPr>
        <w:pStyle w:val="ESSPBodyText"/>
      </w:pPr>
      <w:r>
        <w:t>Example environmental properties include the thermal, dynamic, atmospheric, electromagnetic, radiation characteristics of each procedure in the Integration and Test process.</w:t>
      </w:r>
      <w:r>
        <w:rPr>
          <w:rFonts w:ascii="Times New Roman" w:hAnsi="Times New Roman"/>
          <w:szCs w:val="24"/>
        </w:rPr>
        <w:t xml:space="preserve"> </w:t>
      </w:r>
      <w:r>
        <w:t>The ERD may either record these data explicitly or refer to a negotiated Test and Evaluation Master Plan (TEMP).</w:t>
      </w:r>
      <w:r>
        <w:rPr>
          <w:rFonts w:ascii="Times New Roman" w:hAnsi="Times New Roman"/>
          <w:szCs w:val="24"/>
        </w:rPr>
        <w:t xml:space="preserve"> </w:t>
      </w:r>
    </w:p>
    <w:p w14:paraId="33FEDEE6" w14:textId="77777777" w:rsidR="00DB15E9" w:rsidRDefault="0078312E">
      <w:pPr>
        <w:pStyle w:val="Heading4"/>
      </w:pPr>
      <w:bookmarkStart w:id="300" w:name="_Toc471910893"/>
      <w:r>
        <w:t>Instrument Configuration</w:t>
      </w:r>
      <w:bookmarkEnd w:id="300"/>
    </w:p>
    <w:p w14:paraId="53B9FD3D" w14:textId="77777777" w:rsidR="00DB15E9" w:rsidRDefault="0078312E">
      <w:pPr>
        <w:pStyle w:val="Requirement"/>
      </w:pPr>
      <w:r>
        <w:t>The ERD will document the configuration and operational mode of the Instrument during the Integration and Test phase.</w:t>
      </w:r>
    </w:p>
    <w:p w14:paraId="2134E547" w14:textId="77777777" w:rsidR="00DB15E9" w:rsidRDefault="0078312E">
      <w:pPr>
        <w:pStyle w:val="ESSPBodyText"/>
      </w:pPr>
      <w:r>
        <w:lastRenderedPageBreak/>
        <w:t>Rationale: Proper configuration of the Instrument during the various Integration and Test procedures ensures the validity of the process.</w:t>
      </w:r>
    </w:p>
    <w:p w14:paraId="054C9FA6" w14:textId="77777777" w:rsidR="00DB15E9" w:rsidRDefault="0078312E">
      <w:pPr>
        <w:pStyle w:val="Heading3"/>
      </w:pPr>
      <w:bookmarkStart w:id="301" w:name="_Toc471910894"/>
      <w:r>
        <w:t>Launch Environment</w:t>
      </w:r>
      <w:bookmarkEnd w:id="301"/>
    </w:p>
    <w:p w14:paraId="67956863" w14:textId="77777777" w:rsidR="00DB15E9" w:rsidRDefault="0078312E">
      <w:pPr>
        <w:pStyle w:val="ESSPBodyText"/>
      </w:pPr>
      <w:r>
        <w:t xml:space="preserve">The Launch Environment represents that time in the Instrument’s lifecycle when it is attached to the launch vehicle via the Host Spacecraft, from payload encapsulation at the Launch facility through the completion of the launch vehicle’s final injection burn (see </w:t>
      </w:r>
      <w:r w:rsidR="00BA5284">
        <w:fldChar w:fldCharType="begin"/>
      </w:r>
      <w:r w:rsidR="00BA5284">
        <w:instrText xml:space="preserve"> REF _Ref453064798  \* MERGEFORMAT </w:instrText>
      </w:r>
      <w:r w:rsidR="00BA5284">
        <w:fldChar w:fldCharType="separate"/>
      </w:r>
      <w:r>
        <w:t>Figure 3</w:t>
      </w:r>
      <w:r>
        <w:noBreakHyphen/>
        <w:t>5</w:t>
      </w:r>
      <w:r w:rsidR="00BA5284">
        <w:fldChar w:fldCharType="end"/>
      </w:r>
      <w:r>
        <w:t>).</w:t>
      </w:r>
    </w:p>
    <w:p w14:paraId="69D289EF" w14:textId="77777777" w:rsidR="00DB15E9" w:rsidRDefault="0078312E">
      <w:pPr>
        <w:pStyle w:val="ESSPFigure"/>
        <w:rPr>
          <w:rFonts w:ascii="Helvetica" w:hAnsi="Helvetica"/>
          <w:noProof w:val="0"/>
        </w:rPr>
      </w:pPr>
      <w:r>
        <w:rPr>
          <w:rFonts w:ascii="Helvetica" w:hAnsi="Helvetica"/>
        </w:rPr>
        <w:drawing>
          <wp:inline distT="0" distB="0" distL="0" distR="0" wp14:anchorId="213F36B5" wp14:editId="112272F5">
            <wp:extent cx="4816128" cy="4857292"/>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I Launch Environment.pdf"/>
                    <pic:cNvPicPr/>
                  </pic:nvPicPr>
                  <pic:blipFill rotWithShape="1">
                    <a:blip r:embed="rId17">
                      <a:extLst>
                        <a:ext uri="{28A0092B-C50C-407E-A947-70E740481C1C}">
                          <a14:useLocalDpi xmlns:a14="http://schemas.microsoft.com/office/drawing/2010/main" val="0"/>
                        </a:ext>
                      </a:extLst>
                    </a:blip>
                    <a:srcRect b="4704"/>
                    <a:stretch/>
                  </pic:blipFill>
                  <pic:spPr bwMode="auto">
                    <a:xfrm>
                      <a:off x="0" y="0"/>
                      <a:ext cx="4826096" cy="4867345"/>
                    </a:xfrm>
                    <a:prstGeom prst="rect">
                      <a:avLst/>
                    </a:prstGeom>
                    <a:ln>
                      <a:noFill/>
                    </a:ln>
                    <a:extLst>
                      <a:ext uri="{53640926-AAD7-44D8-BBD7-CCE9431645EC}">
                        <a14:shadowObscured xmlns:a14="http://schemas.microsoft.com/office/drawing/2010/main"/>
                      </a:ext>
                    </a:extLst>
                  </pic:spPr>
                </pic:pic>
              </a:graphicData>
            </a:graphic>
          </wp:inline>
        </w:drawing>
      </w:r>
    </w:p>
    <w:p w14:paraId="4D028C36" w14:textId="77777777" w:rsidR="00DB15E9" w:rsidRDefault="0078312E">
      <w:pPr>
        <w:pStyle w:val="ESSPFigureCaption"/>
        <w:rPr>
          <w:rFonts w:ascii="Helvetica" w:hAnsi="Helvetica"/>
        </w:rPr>
      </w:pPr>
      <w:bookmarkStart w:id="302" w:name="_Ref453064798"/>
      <w:bookmarkStart w:id="303" w:name="_Toc471971596"/>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5</w:t>
      </w:r>
      <w:r>
        <w:rPr>
          <w:rFonts w:ascii="Helvetica" w:hAnsi="Helvetica"/>
        </w:rPr>
        <w:fldChar w:fldCharType="end"/>
      </w:r>
      <w:bookmarkEnd w:id="302"/>
      <w:r>
        <w:rPr>
          <w:rFonts w:ascii="Helvetica" w:hAnsi="Helvetica"/>
        </w:rPr>
        <w:t>: Launch Environment</w:t>
      </w:r>
      <w:bookmarkEnd w:id="303"/>
    </w:p>
    <w:p w14:paraId="75C9CD27" w14:textId="77777777" w:rsidR="00DB15E9" w:rsidRDefault="0078312E">
      <w:pPr>
        <w:pStyle w:val="Heading4"/>
      </w:pPr>
      <w:bookmarkStart w:id="304" w:name="_Toc471910895"/>
      <w:r>
        <w:t>Documentation</w:t>
      </w:r>
      <w:bookmarkEnd w:id="304"/>
    </w:p>
    <w:p w14:paraId="59D053B1" w14:textId="77777777" w:rsidR="00DB15E9" w:rsidRDefault="0078312E">
      <w:pPr>
        <w:pStyle w:val="Requirement"/>
      </w:pPr>
      <w:r>
        <w:t>The ERD will document the maximum allowable environments the Instrument will experience between Launch and Host Spacecraft / Launch Vehicle separation.</w:t>
      </w:r>
    </w:p>
    <w:p w14:paraId="28279753" w14:textId="77777777" w:rsidR="00DB15E9" w:rsidRDefault="0078312E">
      <w:pPr>
        <w:pStyle w:val="ESSPBodyText"/>
      </w:pPr>
      <w:r>
        <w:t>Rationale: The nature of the Launch Environment depends upon the choice of Host Spacecraft and Launch Vehicle.</w:t>
      </w:r>
      <w:r>
        <w:rPr>
          <w:rFonts w:ascii="Times New Roman" w:hAnsi="Times New Roman"/>
          <w:szCs w:val="24"/>
        </w:rPr>
        <w:t xml:space="preserve"> </w:t>
      </w:r>
      <w:r>
        <w:t>Significant parameters related to the launch environment include temperature, pressure, and acceleration profiles.</w:t>
      </w:r>
    </w:p>
    <w:p w14:paraId="11E525D2" w14:textId="77777777" w:rsidR="00DB15E9" w:rsidRDefault="0078312E">
      <w:pPr>
        <w:pStyle w:val="Heading4"/>
      </w:pPr>
      <w:bookmarkStart w:id="305" w:name="_Toc471910896"/>
      <w:r>
        <w:lastRenderedPageBreak/>
        <w:t>Instrument Configuration</w:t>
      </w:r>
      <w:bookmarkEnd w:id="305"/>
    </w:p>
    <w:p w14:paraId="1EE89486" w14:textId="77777777" w:rsidR="00DB15E9" w:rsidRDefault="0078312E">
      <w:pPr>
        <w:pStyle w:val="Requirement"/>
      </w:pPr>
      <w:r>
        <w:t>The ERD will document the configuration and operational state of the Instrument during the Launch phase.</w:t>
      </w:r>
    </w:p>
    <w:p w14:paraId="5B96AB19" w14:textId="77777777" w:rsidR="00DB15E9" w:rsidRDefault="0078312E">
      <w:pPr>
        <w:pStyle w:val="ESSPBodyText"/>
      </w:pPr>
      <w:r>
        <w:t>Rationale: The Launch phase is the most dynamic portion of the mission, and the Instrument configuration and operational mode are chosen to minimize damage to either the Instrument or Host Spacecraft.</w:t>
      </w:r>
      <w:r>
        <w:rPr>
          <w:rFonts w:ascii="Times New Roman" w:hAnsi="Times New Roman"/>
          <w:szCs w:val="24"/>
        </w:rPr>
        <w:t xml:space="preserve"> </w:t>
      </w:r>
      <w:r>
        <w:t xml:space="preserve">The Instrument will likely be in the </w:t>
      </w:r>
      <w:r>
        <w:rPr>
          <w:smallCaps/>
        </w:rPr>
        <w:t>Off/Survival</w:t>
      </w:r>
      <w:r>
        <w:t xml:space="preserve"> mode while in this environment.</w:t>
      </w:r>
    </w:p>
    <w:p w14:paraId="3E2ED6CB" w14:textId="77777777" w:rsidR="00DB15E9" w:rsidRDefault="0078312E">
      <w:pPr>
        <w:pStyle w:val="ESSPBodyText"/>
      </w:pPr>
      <w:r>
        <w:t>The following guidelines are representative of a typical launch environment but may be tailored on a case-by-case basis.</w:t>
      </w:r>
    </w:p>
    <w:p w14:paraId="25F2F520" w14:textId="77777777" w:rsidR="00DB15E9" w:rsidRDefault="0078312E">
      <w:pPr>
        <w:pStyle w:val="Heading4"/>
      </w:pPr>
      <w:bookmarkStart w:id="306" w:name="_Toc471910897"/>
      <w:r>
        <w:t>Launch Pressure Profile</w:t>
      </w:r>
      <w:bookmarkEnd w:id="306"/>
    </w:p>
    <w:p w14:paraId="74B29C1F" w14:textId="77777777" w:rsidR="00DB15E9" w:rsidRDefault="0078312E">
      <w:pPr>
        <w:pStyle w:val="Requirement"/>
      </w:pPr>
      <w:r>
        <w:t>The Instrument should function according to its operational specifications after being subjected to an atmospheric pressure decay rate of 7 kPa/s (53 Torr/s).</w:t>
      </w:r>
    </w:p>
    <w:p w14:paraId="031C46C1" w14:textId="77777777" w:rsidR="00DB15E9" w:rsidRDefault="0078312E">
      <w:pPr>
        <w:pStyle w:val="ESSPBodyText"/>
      </w:pPr>
      <w:r>
        <w:t>Rationale: The Instrument must be able to withstand conditions typical of the AI&amp;T, launch and on-orbit environments without suffering degraded performance, damage, or inducing degraded performance of or damage to the Host Spacecraft or other payloads.</w:t>
      </w:r>
      <w:r>
        <w:rPr>
          <w:rFonts w:ascii="Times New Roman" w:hAnsi="Times New Roman"/>
          <w:szCs w:val="24"/>
        </w:rPr>
        <w:t xml:space="preserve"> </w:t>
      </w:r>
      <w:r>
        <w:t>This guidance represents the maximum expected pressure decay rate during launch ascent and applies to GEO launch vehicles.</w:t>
      </w:r>
      <w:r>
        <w:rPr>
          <w:rFonts w:ascii="Times New Roman" w:hAnsi="Times New Roman"/>
          <w:szCs w:val="24"/>
        </w:rPr>
        <w:t xml:space="preserve"> </w:t>
      </w:r>
      <w:r>
        <w:t xml:space="preserve">The GEO guideline is the all-satisfy strategy scenario, based upon CII analysis of the following sources of performance data: </w:t>
      </w:r>
      <w:r>
        <w:rPr>
          <w:i/>
        </w:rPr>
        <w:t>CII RFI for GEO Hosted Payload Opportunities</w:t>
      </w:r>
      <w:r>
        <w:t xml:space="preserve"> responses, the </w:t>
      </w:r>
      <w:r>
        <w:rPr>
          <w:i/>
        </w:rPr>
        <w:t>General Environmental Verification Specification for STS &amp; ELV Payloads, Subsystems, and Components (GEVS-SE)</w:t>
      </w:r>
      <w:r>
        <w:t xml:space="preserve">, and </w:t>
      </w:r>
      <w:r>
        <w:rPr>
          <w:i/>
        </w:rPr>
        <w:t>Geostationary Operational Environmental Satellite GOES-R Series General Interface Requirements Document (GOES-R GIRD).</w:t>
      </w:r>
    </w:p>
    <w:p w14:paraId="6ED30665" w14:textId="77777777" w:rsidR="00DB15E9" w:rsidRDefault="0078312E">
      <w:pPr>
        <w:pStyle w:val="Heading4"/>
      </w:pPr>
      <w:bookmarkStart w:id="307" w:name="_Toc471910898"/>
      <w:r>
        <w:t>Quasi-Static Acceleration</w:t>
      </w:r>
      <w:bookmarkEnd w:id="307"/>
    </w:p>
    <w:p w14:paraId="30A937F2" w14:textId="77777777" w:rsidR="00DB15E9" w:rsidRDefault="0078312E">
      <w:pPr>
        <w:pStyle w:val="ESSPFigureCaption"/>
        <w:jc w:val="left"/>
        <w:rPr>
          <w:rFonts w:ascii="Times New Roman" w:hAnsi="Times New Roman"/>
          <w:bCs w:val="0"/>
          <w:sz w:val="24"/>
          <w:szCs w:val="24"/>
        </w:rPr>
      </w:pPr>
      <w:r>
        <w:rPr>
          <w:rFonts w:ascii="Times New Roman" w:hAnsi="Times New Roman"/>
          <w:bCs w:val="0"/>
          <w:sz w:val="24"/>
          <w:szCs w:val="24"/>
        </w:rPr>
        <w:t>The Instrument should function according to its operational specifications after being subjected to a launch vehicle-induced quasi-static acceleration environment represented by the MAC defined in Table 3-4.</w:t>
      </w:r>
    </w:p>
    <w:p w14:paraId="66D41501" w14:textId="77777777" w:rsidR="00DB15E9" w:rsidRDefault="0078312E">
      <w:pPr>
        <w:pStyle w:val="ESSPFigureCaption"/>
        <w:keepNext/>
        <w:rPr>
          <w:rFonts w:ascii="Helvetica" w:hAnsi="Helvetica"/>
        </w:rPr>
      </w:pPr>
      <w:bookmarkStart w:id="308" w:name="_Toc471971564"/>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4</w:t>
      </w:r>
      <w:r w:rsidR="00BA5284">
        <w:rPr>
          <w:noProof/>
        </w:rPr>
        <w:fldChar w:fldCharType="end"/>
      </w:r>
      <w:r>
        <w:t xml:space="preserve">: </w:t>
      </w:r>
      <w:r>
        <w:rPr>
          <w:rFonts w:ascii="Helvetica" w:hAnsi="Helvetica"/>
        </w:rPr>
        <w:t>Mass Acceleration Curve Design Load Limits</w:t>
      </w:r>
      <w:bookmarkEnd w:id="308"/>
    </w:p>
    <w:tbl>
      <w:tblPr>
        <w:tblStyle w:val="TableGrid8"/>
        <w:tblW w:w="0" w:type="auto"/>
        <w:jc w:val="center"/>
        <w:tblBorders>
          <w:insideH w:val="single" w:sz="6" w:space="0" w:color="auto"/>
          <w:insideV w:val="single" w:sz="6" w:space="0" w:color="auto"/>
        </w:tblBorders>
        <w:tblCellMar>
          <w:left w:w="43" w:type="dxa"/>
          <w:right w:w="43" w:type="dxa"/>
        </w:tblCellMar>
        <w:tblLook w:val="04A0" w:firstRow="1" w:lastRow="0" w:firstColumn="1" w:lastColumn="0" w:noHBand="0" w:noVBand="1"/>
      </w:tblPr>
      <w:tblGrid>
        <w:gridCol w:w="2045"/>
        <w:gridCol w:w="5240"/>
      </w:tblGrid>
      <w:tr w:rsidR="00DB15E9" w14:paraId="59D3D54E" w14:textId="77777777" w:rsidTr="00DB15E9">
        <w:trPr>
          <w:cnfStyle w:val="100000000000" w:firstRow="1" w:lastRow="0" w:firstColumn="0" w:lastColumn="0" w:oddVBand="0" w:evenVBand="0" w:oddHBand="0" w:evenHBand="0" w:firstRowFirstColumn="0" w:firstRowLastColumn="0" w:lastRowFirstColumn="0" w:lastRowLastColumn="0"/>
          <w:jc w:val="center"/>
        </w:trPr>
        <w:tc>
          <w:tcPr>
            <w:tcW w:w="20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36BC4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Mass [kg]</w:t>
            </w:r>
          </w:p>
        </w:tc>
        <w:tc>
          <w:tcPr>
            <w:tcW w:w="52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E0CAE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Limit Load [g](any direction)</w:t>
            </w:r>
          </w:p>
        </w:tc>
      </w:tr>
      <w:tr w:rsidR="00DB15E9" w14:paraId="2C2A0B93" w14:textId="77777777" w:rsidTr="00DB15E9">
        <w:trPr>
          <w:jc w:val="center"/>
        </w:trPr>
        <w:tc>
          <w:tcPr>
            <w:tcW w:w="2045" w:type="dxa"/>
          </w:tcPr>
          <w:p w14:paraId="2EAAFAB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 xml:space="preserve"> 1</w:t>
            </w:r>
          </w:p>
        </w:tc>
        <w:tc>
          <w:tcPr>
            <w:tcW w:w="5240" w:type="dxa"/>
          </w:tcPr>
          <w:p w14:paraId="705FF43F"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 xml:space="preserve"> 68.0</w:t>
            </w:r>
          </w:p>
        </w:tc>
      </w:tr>
      <w:tr w:rsidR="00DB15E9" w14:paraId="6692D34C" w14:textId="77777777" w:rsidTr="00DB15E9">
        <w:trPr>
          <w:jc w:val="center"/>
        </w:trPr>
        <w:tc>
          <w:tcPr>
            <w:tcW w:w="2045" w:type="dxa"/>
          </w:tcPr>
          <w:p w14:paraId="640AD573"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 xml:space="preserve"> 5</w:t>
            </w:r>
          </w:p>
        </w:tc>
        <w:tc>
          <w:tcPr>
            <w:tcW w:w="5240" w:type="dxa"/>
          </w:tcPr>
          <w:p w14:paraId="0EAB8ED2"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49.0</w:t>
            </w:r>
          </w:p>
        </w:tc>
      </w:tr>
      <w:tr w:rsidR="00DB15E9" w14:paraId="66B973E0" w14:textId="77777777" w:rsidTr="00DB15E9">
        <w:trPr>
          <w:jc w:val="center"/>
        </w:trPr>
        <w:tc>
          <w:tcPr>
            <w:tcW w:w="2045" w:type="dxa"/>
          </w:tcPr>
          <w:p w14:paraId="29C0EF9D"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10</w:t>
            </w:r>
          </w:p>
        </w:tc>
        <w:tc>
          <w:tcPr>
            <w:tcW w:w="5240" w:type="dxa"/>
          </w:tcPr>
          <w:p w14:paraId="69B52E2D"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39.8</w:t>
            </w:r>
          </w:p>
        </w:tc>
      </w:tr>
      <w:tr w:rsidR="00DB15E9" w14:paraId="4962D887" w14:textId="77777777" w:rsidTr="00DB15E9">
        <w:trPr>
          <w:jc w:val="center"/>
        </w:trPr>
        <w:tc>
          <w:tcPr>
            <w:tcW w:w="2045" w:type="dxa"/>
          </w:tcPr>
          <w:p w14:paraId="739F380E"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20</w:t>
            </w:r>
          </w:p>
        </w:tc>
        <w:tc>
          <w:tcPr>
            <w:tcW w:w="5240" w:type="dxa"/>
          </w:tcPr>
          <w:p w14:paraId="3E366F91"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31.2</w:t>
            </w:r>
          </w:p>
        </w:tc>
      </w:tr>
      <w:tr w:rsidR="00DB15E9" w14:paraId="782838B2" w14:textId="77777777" w:rsidTr="00DB15E9">
        <w:trPr>
          <w:jc w:val="center"/>
        </w:trPr>
        <w:tc>
          <w:tcPr>
            <w:tcW w:w="2045" w:type="dxa"/>
          </w:tcPr>
          <w:p w14:paraId="70199E7D"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40</w:t>
            </w:r>
          </w:p>
        </w:tc>
        <w:tc>
          <w:tcPr>
            <w:tcW w:w="5240" w:type="dxa"/>
          </w:tcPr>
          <w:p w14:paraId="21E20D62"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23.8</w:t>
            </w:r>
          </w:p>
        </w:tc>
      </w:tr>
      <w:tr w:rsidR="00DB15E9" w14:paraId="05411574" w14:textId="77777777" w:rsidTr="00DB15E9">
        <w:trPr>
          <w:jc w:val="center"/>
        </w:trPr>
        <w:tc>
          <w:tcPr>
            <w:tcW w:w="2045" w:type="dxa"/>
          </w:tcPr>
          <w:p w14:paraId="3A140B89"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60</w:t>
            </w:r>
          </w:p>
        </w:tc>
        <w:tc>
          <w:tcPr>
            <w:tcW w:w="5240" w:type="dxa"/>
          </w:tcPr>
          <w:p w14:paraId="2E0B5ED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20.2</w:t>
            </w:r>
          </w:p>
        </w:tc>
      </w:tr>
      <w:tr w:rsidR="00DB15E9" w14:paraId="2DE8C134" w14:textId="77777777" w:rsidTr="00DB15E9">
        <w:trPr>
          <w:jc w:val="center"/>
        </w:trPr>
        <w:tc>
          <w:tcPr>
            <w:tcW w:w="2045" w:type="dxa"/>
          </w:tcPr>
          <w:p w14:paraId="2CE0A5FC"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80</w:t>
            </w:r>
          </w:p>
        </w:tc>
        <w:tc>
          <w:tcPr>
            <w:tcW w:w="5240" w:type="dxa"/>
          </w:tcPr>
          <w:p w14:paraId="414C79C8"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17.8</w:t>
            </w:r>
          </w:p>
        </w:tc>
      </w:tr>
      <w:tr w:rsidR="00DB15E9" w14:paraId="6437080C" w14:textId="77777777" w:rsidTr="00DB15E9">
        <w:trPr>
          <w:jc w:val="center"/>
        </w:trPr>
        <w:tc>
          <w:tcPr>
            <w:tcW w:w="2045" w:type="dxa"/>
          </w:tcPr>
          <w:p w14:paraId="5548AFAC"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100</w:t>
            </w:r>
          </w:p>
        </w:tc>
        <w:tc>
          <w:tcPr>
            <w:tcW w:w="5240" w:type="dxa"/>
          </w:tcPr>
          <w:p w14:paraId="608833C5"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16.2</w:t>
            </w:r>
          </w:p>
        </w:tc>
      </w:tr>
      <w:tr w:rsidR="00DB15E9" w14:paraId="3FD1A6AD" w14:textId="77777777" w:rsidTr="00DB15E9">
        <w:trPr>
          <w:jc w:val="center"/>
        </w:trPr>
        <w:tc>
          <w:tcPr>
            <w:tcW w:w="2045" w:type="dxa"/>
          </w:tcPr>
          <w:p w14:paraId="2E3C9B63"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125</w:t>
            </w:r>
          </w:p>
        </w:tc>
        <w:tc>
          <w:tcPr>
            <w:tcW w:w="5240" w:type="dxa"/>
          </w:tcPr>
          <w:p w14:paraId="6621F57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14.7</w:t>
            </w:r>
          </w:p>
        </w:tc>
      </w:tr>
      <w:tr w:rsidR="00DB15E9" w14:paraId="03D10DC2" w14:textId="77777777" w:rsidTr="00DB15E9">
        <w:trPr>
          <w:jc w:val="center"/>
        </w:trPr>
        <w:tc>
          <w:tcPr>
            <w:tcW w:w="2045" w:type="dxa"/>
          </w:tcPr>
          <w:p w14:paraId="68F3FE48"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150</w:t>
            </w:r>
          </w:p>
        </w:tc>
        <w:tc>
          <w:tcPr>
            <w:tcW w:w="5240" w:type="dxa"/>
          </w:tcPr>
          <w:p w14:paraId="736EFC46"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13.5</w:t>
            </w:r>
          </w:p>
        </w:tc>
      </w:tr>
      <w:tr w:rsidR="00DB15E9" w14:paraId="53410AB2" w14:textId="77777777" w:rsidTr="00DB15E9">
        <w:trPr>
          <w:jc w:val="center"/>
        </w:trPr>
        <w:tc>
          <w:tcPr>
            <w:tcW w:w="2045" w:type="dxa"/>
          </w:tcPr>
          <w:p w14:paraId="06097690"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175</w:t>
            </w:r>
          </w:p>
        </w:tc>
        <w:tc>
          <w:tcPr>
            <w:tcW w:w="5240" w:type="dxa"/>
          </w:tcPr>
          <w:p w14:paraId="341636CC"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12.6</w:t>
            </w:r>
          </w:p>
        </w:tc>
      </w:tr>
      <w:tr w:rsidR="00DB15E9" w14:paraId="7E7C675F" w14:textId="77777777" w:rsidTr="00DB15E9">
        <w:trPr>
          <w:jc w:val="center"/>
        </w:trPr>
        <w:tc>
          <w:tcPr>
            <w:tcW w:w="2045" w:type="dxa"/>
          </w:tcPr>
          <w:p w14:paraId="01443FA9"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 xml:space="preserve"> 200 or Greater</w:t>
            </w:r>
          </w:p>
        </w:tc>
        <w:tc>
          <w:tcPr>
            <w:tcW w:w="5240" w:type="dxa"/>
          </w:tcPr>
          <w:p w14:paraId="324AE693" w14:textId="77777777" w:rsidR="00DB15E9" w:rsidRDefault="0078312E">
            <w:pPr>
              <w:pStyle w:val="ESSPFigure"/>
              <w:keepNext w:val="0"/>
              <w:spacing w:line="220" w:lineRule="exact"/>
              <w:rPr>
                <w:rFonts w:ascii="Helvetica" w:hAnsi="Helvetica"/>
                <w:noProof w:val="0"/>
                <w:sz w:val="22"/>
                <w:szCs w:val="22"/>
              </w:rPr>
            </w:pPr>
            <w:r>
              <w:rPr>
                <w:rFonts w:ascii="Helvetica" w:hAnsi="Helvetica"/>
                <w:noProof w:val="0"/>
                <w:sz w:val="22"/>
                <w:szCs w:val="22"/>
              </w:rPr>
              <w:t xml:space="preserve"> 12.0</w:t>
            </w:r>
          </w:p>
        </w:tc>
      </w:tr>
    </w:tbl>
    <w:p w14:paraId="0596A848"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 xml:space="preserve">This guidance represents the </w:t>
      </w:r>
      <w:r>
        <w:lastRenderedPageBreak/>
        <w:t>need to be compatible with the quasi-static loads that will be experienced during launch ascent.</w:t>
      </w:r>
      <w:r>
        <w:rPr>
          <w:rFonts w:ascii="Times New Roman" w:hAnsi="Times New Roman"/>
          <w:szCs w:val="24"/>
        </w:rPr>
        <w:t xml:space="preserve"> </w:t>
      </w:r>
      <w:bookmarkStart w:id="309" w:name="OLE_LINK24"/>
      <w:bookmarkStart w:id="310" w:name="OLE_LINK25"/>
      <w:bookmarkStart w:id="311" w:name="OLE_LINK43"/>
      <w:bookmarkStart w:id="312" w:name="OLE_LINK44"/>
      <w:bookmarkStart w:id="313" w:name="OLE_LINK61"/>
      <w:bookmarkStart w:id="314" w:name="OLE_LINK71"/>
      <w:bookmarkStart w:id="315" w:name="OLE_LINK72"/>
      <w:r>
        <w:t>The GEO guideline is the all-satisfy strategy scenario, and the loads shown in Table 3-3 should be updated based on a launch vehicle specific set of MAC loads or the results of coupled loads analysis when this information becomes available.</w:t>
      </w:r>
      <w:bookmarkEnd w:id="309"/>
      <w:bookmarkEnd w:id="310"/>
      <w:bookmarkEnd w:id="311"/>
      <w:bookmarkEnd w:id="312"/>
      <w:bookmarkEnd w:id="313"/>
      <w:bookmarkEnd w:id="314"/>
      <w:bookmarkEnd w:id="315"/>
    </w:p>
    <w:p w14:paraId="7FC2784B" w14:textId="77777777" w:rsidR="00DB15E9" w:rsidRDefault="0078312E">
      <w:pPr>
        <w:pStyle w:val="ESSPBodyText"/>
      </w:pPr>
      <w:r>
        <w:t>The “Mass” is the mass of the entire instrument or any component of the instrument.</w:t>
      </w:r>
      <w:r>
        <w:rPr>
          <w:rFonts w:ascii="Times New Roman" w:hAnsi="Times New Roman"/>
          <w:szCs w:val="24"/>
        </w:rPr>
        <w:t xml:space="preserve"> </w:t>
      </w:r>
      <w:r>
        <w:t>The MAC applies to the worst-case single direction, which might not be aligned with coordinate directions, to produce the greatest load component (axial load, bending moment, reaction component, stress level, etc.) being investigated and also to the two remaining orthogonal directions.</w:t>
      </w:r>
    </w:p>
    <w:p w14:paraId="628DC08B" w14:textId="77777777" w:rsidR="00DB15E9" w:rsidRDefault="0078312E">
      <w:pPr>
        <w:pStyle w:val="Heading4"/>
      </w:pPr>
      <w:bookmarkStart w:id="316" w:name="_Toc471910899"/>
      <w:r>
        <w:t>Sinusoidal Vibration</w:t>
      </w:r>
      <w:bookmarkEnd w:id="316"/>
    </w:p>
    <w:p w14:paraId="73207287" w14:textId="77777777" w:rsidR="00DB15E9" w:rsidRDefault="0078312E">
      <w:pPr>
        <w:pStyle w:val="Requirement"/>
      </w:pPr>
      <w:r>
        <w:t>The Instrument should function according to its operational specifications after being subjected to a launch vehicle-induced transient environment represented by the sinusoidal vibration environment defined in Table 3-5.</w:t>
      </w:r>
    </w:p>
    <w:p w14:paraId="3ED6A3AC" w14:textId="77777777" w:rsidR="00DB15E9" w:rsidRDefault="0078312E">
      <w:pPr>
        <w:pStyle w:val="ESSPTableCaption"/>
      </w:pPr>
      <w:bookmarkStart w:id="317" w:name="_Toc471971565"/>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5</w:t>
      </w:r>
      <w:r w:rsidR="00BA5284">
        <w:rPr>
          <w:noProof/>
        </w:rPr>
        <w:fldChar w:fldCharType="end"/>
      </w:r>
      <w:r>
        <w:t>: Sinusoidal Vibration Environment</w:t>
      </w:r>
      <w:bookmarkEnd w:id="317"/>
    </w:p>
    <w:tbl>
      <w:tblPr>
        <w:tblStyle w:val="TableGrid8"/>
        <w:tblW w:w="0" w:type="auto"/>
        <w:tblLook w:val="04A0" w:firstRow="1" w:lastRow="0" w:firstColumn="1" w:lastColumn="0" w:noHBand="0" w:noVBand="1"/>
      </w:tblPr>
      <w:tblGrid>
        <w:gridCol w:w="3115"/>
        <w:gridCol w:w="3111"/>
        <w:gridCol w:w="3134"/>
      </w:tblGrid>
      <w:tr w:rsidR="00DB15E9" w14:paraId="7FAEED5A" w14:textId="77777777" w:rsidTr="00DB15E9">
        <w:trPr>
          <w:cnfStyle w:val="100000000000" w:firstRow="1" w:lastRow="0" w:firstColumn="0" w:lastColumn="0" w:oddVBand="0" w:evenVBand="0" w:oddHBand="0" w:evenHBand="0" w:firstRowFirstColumn="0" w:firstRowLastColumn="0" w:lastRowFirstColumn="0" w:lastRowLastColumn="0"/>
          <w:trHeight w:val="52"/>
        </w:trPr>
        <w:tc>
          <w:tcPr>
            <w:tcW w:w="3192" w:type="dxa"/>
            <w:vMerge w:val="restart"/>
          </w:tcPr>
          <w:p w14:paraId="4B51D66D" w14:textId="77777777" w:rsidR="00DB15E9" w:rsidRDefault="0078312E">
            <w:pPr>
              <w:pStyle w:val="ESSPTableText"/>
            </w:pPr>
            <w:r>
              <w:t>Frequency (Hz)</w:t>
            </w:r>
          </w:p>
        </w:tc>
        <w:tc>
          <w:tcPr>
            <w:tcW w:w="6384" w:type="dxa"/>
            <w:gridSpan w:val="2"/>
          </w:tcPr>
          <w:p w14:paraId="1D9BDE61" w14:textId="77777777" w:rsidR="00DB15E9" w:rsidRDefault="0078312E">
            <w:pPr>
              <w:pStyle w:val="ESSPTableText"/>
            </w:pPr>
            <w:r>
              <w:t>Amplitude</w:t>
            </w:r>
          </w:p>
        </w:tc>
      </w:tr>
      <w:tr w:rsidR="00DB15E9" w14:paraId="42ED5D5E" w14:textId="77777777" w:rsidTr="00DB15E9">
        <w:trPr>
          <w:trHeight w:val="72"/>
        </w:trPr>
        <w:tc>
          <w:tcPr>
            <w:tcW w:w="3192" w:type="dxa"/>
            <w:vMerge/>
          </w:tcPr>
          <w:p w14:paraId="74D485C9" w14:textId="77777777" w:rsidR="00DB15E9" w:rsidRDefault="00DB15E9">
            <w:pPr>
              <w:pStyle w:val="ESSPTableText"/>
            </w:pPr>
          </w:p>
        </w:tc>
        <w:tc>
          <w:tcPr>
            <w:tcW w:w="3192" w:type="dxa"/>
            <w:shd w:val="clear" w:color="auto" w:fill="000000" w:themeFill="text1"/>
          </w:tcPr>
          <w:p w14:paraId="181D6609" w14:textId="77777777" w:rsidR="00DB15E9" w:rsidRDefault="0078312E">
            <w:pPr>
              <w:pStyle w:val="ESSPTableText"/>
            </w:pPr>
            <w:r>
              <w:t>Flight Level</w:t>
            </w:r>
          </w:p>
        </w:tc>
        <w:tc>
          <w:tcPr>
            <w:tcW w:w="3192" w:type="dxa"/>
            <w:shd w:val="clear" w:color="auto" w:fill="000000" w:themeFill="text1"/>
          </w:tcPr>
          <w:p w14:paraId="3AE01E0B" w14:textId="77777777" w:rsidR="00DB15E9" w:rsidRDefault="0078312E">
            <w:pPr>
              <w:pStyle w:val="ESSPTableText"/>
            </w:pPr>
            <w:r>
              <w:t>Qual/Protoflight</w:t>
            </w:r>
          </w:p>
        </w:tc>
      </w:tr>
      <w:tr w:rsidR="00DB15E9" w14:paraId="10DE7BB7" w14:textId="77777777" w:rsidTr="00DB15E9">
        <w:trPr>
          <w:trHeight w:val="50"/>
        </w:trPr>
        <w:tc>
          <w:tcPr>
            <w:tcW w:w="3192" w:type="dxa"/>
          </w:tcPr>
          <w:p w14:paraId="2723C308" w14:textId="77777777" w:rsidR="00DB15E9" w:rsidRDefault="0078312E">
            <w:pPr>
              <w:pStyle w:val="ESSPTableText"/>
            </w:pPr>
            <w:r>
              <w:t>5 – 20</w:t>
            </w:r>
          </w:p>
        </w:tc>
        <w:tc>
          <w:tcPr>
            <w:tcW w:w="3192" w:type="dxa"/>
          </w:tcPr>
          <w:p w14:paraId="21FDC241" w14:textId="77777777" w:rsidR="00DB15E9" w:rsidRDefault="0078312E">
            <w:pPr>
              <w:pStyle w:val="ESSPTableText"/>
            </w:pPr>
            <w:r>
              <w:t>12.7 mm (double amplitude)</w:t>
            </w:r>
          </w:p>
        </w:tc>
        <w:tc>
          <w:tcPr>
            <w:tcW w:w="3192" w:type="dxa"/>
          </w:tcPr>
          <w:p w14:paraId="1F1201DF" w14:textId="77777777" w:rsidR="00DB15E9" w:rsidRDefault="0078312E">
            <w:pPr>
              <w:pStyle w:val="ESSPTableText"/>
            </w:pPr>
            <w:r>
              <w:t>16 mm (double amplitude)</w:t>
            </w:r>
          </w:p>
        </w:tc>
      </w:tr>
      <w:tr w:rsidR="00DB15E9" w14:paraId="63A8F0DB" w14:textId="77777777" w:rsidTr="00DB15E9">
        <w:trPr>
          <w:trHeight w:val="50"/>
        </w:trPr>
        <w:tc>
          <w:tcPr>
            <w:tcW w:w="3192" w:type="dxa"/>
          </w:tcPr>
          <w:p w14:paraId="423CDBB2" w14:textId="77777777" w:rsidR="00DB15E9" w:rsidRDefault="0078312E">
            <w:pPr>
              <w:pStyle w:val="ESSPTableText"/>
            </w:pPr>
            <w:r>
              <w:t>20 – 100</w:t>
            </w:r>
          </w:p>
        </w:tc>
        <w:tc>
          <w:tcPr>
            <w:tcW w:w="3192" w:type="dxa"/>
          </w:tcPr>
          <w:p w14:paraId="33C508B1" w14:textId="77777777" w:rsidR="00DB15E9" w:rsidRDefault="0078312E">
            <w:pPr>
              <w:pStyle w:val="ESSPTableText"/>
            </w:pPr>
            <w:r>
              <w:t>10.0 g</w:t>
            </w:r>
          </w:p>
        </w:tc>
        <w:tc>
          <w:tcPr>
            <w:tcW w:w="3192" w:type="dxa"/>
          </w:tcPr>
          <w:p w14:paraId="28EB3DA7" w14:textId="77777777" w:rsidR="00DB15E9" w:rsidRDefault="0078312E">
            <w:pPr>
              <w:pStyle w:val="ESSPTableText"/>
            </w:pPr>
            <w:r>
              <w:t>12.5 g</w:t>
            </w:r>
          </w:p>
        </w:tc>
      </w:tr>
      <w:tr w:rsidR="00DB15E9" w14:paraId="08FAE86F" w14:textId="77777777" w:rsidTr="00DB15E9">
        <w:trPr>
          <w:trHeight w:val="50"/>
        </w:trPr>
        <w:tc>
          <w:tcPr>
            <w:tcW w:w="9576" w:type="dxa"/>
            <w:gridSpan w:val="3"/>
          </w:tcPr>
          <w:p w14:paraId="632CDC72" w14:textId="77777777" w:rsidR="00DB15E9" w:rsidRDefault="0078312E">
            <w:pPr>
              <w:pStyle w:val="ESSPTableText"/>
            </w:pPr>
            <w:r>
              <w:t>Qual/Protoflight Sweep Rate:</w:t>
            </w:r>
            <w:r>
              <w:rPr>
                <w:rFonts w:ascii="Times New Roman" w:hAnsi="Times New Roman"/>
                <w:szCs w:val="24"/>
              </w:rPr>
              <w:t xml:space="preserve"> </w:t>
            </w:r>
            <w:r>
              <w:t>From 5 to 100 Hz at</w:t>
            </w:r>
            <w:r>
              <w:rPr>
                <w:rFonts w:ascii="Times New Roman" w:hAnsi="Times New Roman"/>
                <w:szCs w:val="24"/>
              </w:rPr>
              <w:t xml:space="preserve"> </w:t>
            </w:r>
            <w:r>
              <w:t>4 octaves/minute except from 40 to 55 Hz at 6 Hz/min</w:t>
            </w:r>
          </w:p>
          <w:p w14:paraId="4B11E7EA" w14:textId="77777777" w:rsidR="00DB15E9" w:rsidRDefault="0078312E">
            <w:pPr>
              <w:pStyle w:val="ESSPTableText"/>
            </w:pPr>
            <w:r>
              <w:t>Flight Level Sweep Rate: From 5 to 100 Hz at</w:t>
            </w:r>
            <w:r>
              <w:rPr>
                <w:rFonts w:ascii="Times New Roman" w:hAnsi="Times New Roman"/>
                <w:szCs w:val="24"/>
              </w:rPr>
              <w:t xml:space="preserve"> </w:t>
            </w:r>
            <w:r>
              <w:t>4 octaves/minute except from 40 to 55 Hz at 6 Hz/min</w:t>
            </w:r>
          </w:p>
        </w:tc>
      </w:tr>
    </w:tbl>
    <w:p w14:paraId="1CB3976F"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Table 3-5 provides a generic sine environment for the preliminary design of components and subsystems.</w:t>
      </w:r>
      <w:r>
        <w:rPr>
          <w:rFonts w:ascii="Times New Roman" w:hAnsi="Times New Roman"/>
          <w:szCs w:val="24"/>
        </w:rPr>
        <w:t xml:space="preserve"> </w:t>
      </w:r>
      <w:r>
        <w:t xml:space="preserve">The sine sweep vibration levels shown in Table 3-5 are defined at the hardware mounting interface. This guidance represents the need to be compatible with the coupled dynamics loads that will be experienced during ground processing and launch ascent. </w:t>
      </w:r>
    </w:p>
    <w:p w14:paraId="30C53E23" w14:textId="77777777" w:rsidR="00DB15E9" w:rsidRDefault="0078312E">
      <w:pPr>
        <w:pStyle w:val="Heading4"/>
      </w:pPr>
      <w:bookmarkStart w:id="318" w:name="_Toc471910900"/>
      <w:r>
        <w:t>Random Vibration</w:t>
      </w:r>
      <w:bookmarkEnd w:id="318"/>
    </w:p>
    <w:p w14:paraId="19EDA321" w14:textId="77777777" w:rsidR="00DB15E9" w:rsidRDefault="0078312E">
      <w:pPr>
        <w:pStyle w:val="ESSPBodyText"/>
        <w:rPr>
          <w:rFonts w:cs="Arial"/>
        </w:rPr>
      </w:pPr>
      <w:r>
        <w:t>[GEO]</w:t>
      </w:r>
      <w:r>
        <w:rPr>
          <w:rFonts w:ascii="Times New Roman" w:hAnsi="Times New Roman"/>
          <w:szCs w:val="24"/>
        </w:rPr>
        <w:t xml:space="preserve"> </w:t>
      </w:r>
      <w:r>
        <w:t xml:space="preserve">The Instrument should function according to its operational specifications after being subjected to a launch vehicle-induced transient environment represented by the random vibration environment defined in Table 3-6. </w:t>
      </w:r>
      <w:bookmarkStart w:id="319" w:name="_Ref302144047"/>
      <w:bookmarkStart w:id="320" w:name="_Toc326129307"/>
    </w:p>
    <w:p w14:paraId="4C97D75E" w14:textId="77777777" w:rsidR="00DB15E9" w:rsidRDefault="0078312E">
      <w:pPr>
        <w:pStyle w:val="ESSPBodyText"/>
        <w:rPr>
          <w:rStyle w:val="ESSPBodyTextChar"/>
        </w:rPr>
      </w:pPr>
      <w:r>
        <w:t>All flight article test durations are to be 1 minute per axis.</w:t>
      </w:r>
      <w:r>
        <w:rPr>
          <w:rFonts w:ascii="Times New Roman" w:hAnsi="Times New Roman"/>
          <w:szCs w:val="24"/>
        </w:rPr>
        <w:t xml:space="preserve"> </w:t>
      </w:r>
      <w:r>
        <w:t>Non-flight article qualification test durations are to be 2 minutes per axis.</w:t>
      </w:r>
      <w:bookmarkEnd w:id="319"/>
      <w:bookmarkEnd w:id="3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DB15E9" w14:paraId="1BE960BF" w14:textId="77777777">
        <w:trPr>
          <w:cantSplit/>
        </w:trPr>
        <w:tc>
          <w:tcPr>
            <w:tcW w:w="8856" w:type="dxa"/>
            <w:gridSpan w:val="3"/>
            <w:tcBorders>
              <w:top w:val="nil"/>
              <w:left w:val="nil"/>
              <w:right w:val="nil"/>
            </w:tcBorders>
          </w:tcPr>
          <w:p w14:paraId="782E1BB2" w14:textId="77777777" w:rsidR="00DB15E9" w:rsidRDefault="0078312E">
            <w:pPr>
              <w:pStyle w:val="ESSPTableCaption"/>
            </w:pPr>
            <w:bookmarkStart w:id="321" w:name="_Toc471971566"/>
            <w:r>
              <w:lastRenderedPageBreak/>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6</w:t>
            </w:r>
            <w:r w:rsidR="00BA5284">
              <w:rPr>
                <w:noProof/>
              </w:rPr>
              <w:fldChar w:fldCharType="end"/>
            </w:r>
            <w:r>
              <w:t>: Random Vibration Levels – All Axes</w:t>
            </w:r>
            <w:bookmarkEnd w:id="321"/>
          </w:p>
        </w:tc>
      </w:tr>
      <w:tr w:rsidR="00DB15E9" w14:paraId="396485A4" w14:textId="77777777">
        <w:tc>
          <w:tcPr>
            <w:tcW w:w="2952" w:type="dxa"/>
            <w:shd w:val="clear" w:color="auto" w:fill="000000" w:themeFill="text1"/>
          </w:tcPr>
          <w:p w14:paraId="63313436" w14:textId="77777777" w:rsidR="00DB15E9" w:rsidRDefault="0078312E">
            <w:pPr>
              <w:pStyle w:val="ESSPTableText"/>
            </w:pPr>
            <w:r>
              <w:t>Frequency (Hz)</w:t>
            </w:r>
          </w:p>
        </w:tc>
        <w:tc>
          <w:tcPr>
            <w:tcW w:w="2952" w:type="dxa"/>
            <w:shd w:val="clear" w:color="auto" w:fill="000000" w:themeFill="text1"/>
          </w:tcPr>
          <w:p w14:paraId="71ACD7A0" w14:textId="77777777" w:rsidR="00DB15E9" w:rsidRDefault="0078312E">
            <w:pPr>
              <w:pStyle w:val="ESSPTableText"/>
            </w:pPr>
            <w:r>
              <w:t>Acceptance</w:t>
            </w:r>
          </w:p>
        </w:tc>
        <w:tc>
          <w:tcPr>
            <w:tcW w:w="2952" w:type="dxa"/>
            <w:shd w:val="clear" w:color="auto" w:fill="000000" w:themeFill="text1"/>
          </w:tcPr>
          <w:p w14:paraId="0ED9176E" w14:textId="77777777" w:rsidR="00DB15E9" w:rsidRDefault="0078312E">
            <w:pPr>
              <w:pStyle w:val="ESSPTableText"/>
            </w:pPr>
            <w:r>
              <w:t>Protoflight/Qualification</w:t>
            </w:r>
          </w:p>
        </w:tc>
      </w:tr>
      <w:tr w:rsidR="00DB15E9" w14:paraId="4CE68C85" w14:textId="77777777">
        <w:tc>
          <w:tcPr>
            <w:tcW w:w="2952" w:type="dxa"/>
          </w:tcPr>
          <w:p w14:paraId="6067C4A2" w14:textId="77777777" w:rsidR="00DB15E9" w:rsidRDefault="0078312E">
            <w:pPr>
              <w:pStyle w:val="ESSPTableText"/>
            </w:pPr>
            <w:r>
              <w:t>20</w:t>
            </w:r>
          </w:p>
        </w:tc>
        <w:tc>
          <w:tcPr>
            <w:tcW w:w="2952" w:type="dxa"/>
          </w:tcPr>
          <w:p w14:paraId="07EF75D0" w14:textId="77777777" w:rsidR="00DB15E9" w:rsidRDefault="0078312E">
            <w:pPr>
              <w:pStyle w:val="ESSPTableText"/>
            </w:pPr>
            <w:r>
              <w:t>0.013 g2/Hz</w:t>
            </w:r>
          </w:p>
        </w:tc>
        <w:tc>
          <w:tcPr>
            <w:tcW w:w="2952" w:type="dxa"/>
          </w:tcPr>
          <w:p w14:paraId="088762D0" w14:textId="77777777" w:rsidR="00DB15E9" w:rsidRDefault="0078312E">
            <w:pPr>
              <w:pStyle w:val="ESSPTableText"/>
            </w:pPr>
            <w:r>
              <w:t>0.026 g2/Hz</w:t>
            </w:r>
          </w:p>
        </w:tc>
      </w:tr>
      <w:tr w:rsidR="00DB15E9" w14:paraId="74CAE1CC" w14:textId="77777777">
        <w:tc>
          <w:tcPr>
            <w:tcW w:w="2952" w:type="dxa"/>
          </w:tcPr>
          <w:p w14:paraId="43A9A4AE" w14:textId="77777777" w:rsidR="00DB15E9" w:rsidRDefault="0078312E">
            <w:pPr>
              <w:pStyle w:val="ESSPTableText"/>
            </w:pPr>
            <w:r>
              <w:t>20 – 50</w:t>
            </w:r>
          </w:p>
        </w:tc>
        <w:tc>
          <w:tcPr>
            <w:tcW w:w="2952" w:type="dxa"/>
          </w:tcPr>
          <w:p w14:paraId="5E1F834C" w14:textId="77777777" w:rsidR="00DB15E9" w:rsidRDefault="0078312E">
            <w:pPr>
              <w:pStyle w:val="ESSPTableText"/>
            </w:pPr>
            <w:r>
              <w:t>+6 dB/Oct</w:t>
            </w:r>
          </w:p>
        </w:tc>
        <w:tc>
          <w:tcPr>
            <w:tcW w:w="2952" w:type="dxa"/>
          </w:tcPr>
          <w:p w14:paraId="79FCDD83" w14:textId="77777777" w:rsidR="00DB15E9" w:rsidRDefault="0078312E">
            <w:pPr>
              <w:pStyle w:val="ESSPTableText"/>
            </w:pPr>
            <w:r>
              <w:t>+6 dB/Oct</w:t>
            </w:r>
          </w:p>
        </w:tc>
      </w:tr>
      <w:tr w:rsidR="00DB15E9" w14:paraId="3B83713E" w14:textId="77777777">
        <w:tc>
          <w:tcPr>
            <w:tcW w:w="2952" w:type="dxa"/>
          </w:tcPr>
          <w:p w14:paraId="26454F04" w14:textId="77777777" w:rsidR="00DB15E9" w:rsidRDefault="0078312E">
            <w:pPr>
              <w:pStyle w:val="ESSPTableText"/>
            </w:pPr>
            <w:r>
              <w:t>50 – 800</w:t>
            </w:r>
          </w:p>
        </w:tc>
        <w:tc>
          <w:tcPr>
            <w:tcW w:w="2952" w:type="dxa"/>
          </w:tcPr>
          <w:p w14:paraId="4BF50253" w14:textId="77777777" w:rsidR="00DB15E9" w:rsidRDefault="0078312E">
            <w:pPr>
              <w:pStyle w:val="ESSPTableText"/>
            </w:pPr>
            <w:r>
              <w:t>0.080 g2/Hz</w:t>
            </w:r>
          </w:p>
        </w:tc>
        <w:tc>
          <w:tcPr>
            <w:tcW w:w="2952" w:type="dxa"/>
          </w:tcPr>
          <w:p w14:paraId="11671AFF" w14:textId="77777777" w:rsidR="00DB15E9" w:rsidRDefault="0078312E">
            <w:pPr>
              <w:pStyle w:val="ESSPTableText"/>
            </w:pPr>
            <w:r>
              <w:t>0.016 g2/Hz</w:t>
            </w:r>
          </w:p>
        </w:tc>
      </w:tr>
      <w:tr w:rsidR="00DB15E9" w14:paraId="27EF6B6F" w14:textId="77777777">
        <w:tc>
          <w:tcPr>
            <w:tcW w:w="2952" w:type="dxa"/>
          </w:tcPr>
          <w:p w14:paraId="3C9C31BD" w14:textId="77777777" w:rsidR="00DB15E9" w:rsidRDefault="0078312E">
            <w:pPr>
              <w:pStyle w:val="ESSPTableText"/>
            </w:pPr>
            <w:r>
              <w:t>800 – 2000</w:t>
            </w:r>
          </w:p>
        </w:tc>
        <w:tc>
          <w:tcPr>
            <w:tcW w:w="2952" w:type="dxa"/>
          </w:tcPr>
          <w:p w14:paraId="4F2CEDCF" w14:textId="77777777" w:rsidR="00DB15E9" w:rsidRDefault="0078312E">
            <w:pPr>
              <w:pStyle w:val="ESSPTableText"/>
            </w:pPr>
            <w:r>
              <w:t>-6 dB/Oct</w:t>
            </w:r>
          </w:p>
        </w:tc>
        <w:tc>
          <w:tcPr>
            <w:tcW w:w="2952" w:type="dxa"/>
          </w:tcPr>
          <w:p w14:paraId="09AC095A" w14:textId="77777777" w:rsidR="00DB15E9" w:rsidRDefault="0078312E">
            <w:pPr>
              <w:pStyle w:val="ESSPTableText"/>
            </w:pPr>
            <w:r>
              <w:t>-6 dB/Oct</w:t>
            </w:r>
          </w:p>
        </w:tc>
      </w:tr>
      <w:tr w:rsidR="00DB15E9" w14:paraId="10CA4DA7" w14:textId="77777777">
        <w:tc>
          <w:tcPr>
            <w:tcW w:w="2952" w:type="dxa"/>
          </w:tcPr>
          <w:p w14:paraId="26F93B78" w14:textId="77777777" w:rsidR="00DB15E9" w:rsidRDefault="0078312E">
            <w:pPr>
              <w:pStyle w:val="ESSPTableText"/>
            </w:pPr>
            <w:r>
              <w:t>2000</w:t>
            </w:r>
          </w:p>
        </w:tc>
        <w:tc>
          <w:tcPr>
            <w:tcW w:w="2952" w:type="dxa"/>
          </w:tcPr>
          <w:p w14:paraId="426B42A2" w14:textId="77777777" w:rsidR="00DB15E9" w:rsidRDefault="0078312E">
            <w:pPr>
              <w:pStyle w:val="ESSPTableText"/>
            </w:pPr>
            <w:r>
              <w:t>0.013 g2/Hz</w:t>
            </w:r>
          </w:p>
        </w:tc>
        <w:tc>
          <w:tcPr>
            <w:tcW w:w="2952" w:type="dxa"/>
          </w:tcPr>
          <w:p w14:paraId="27E82B1A" w14:textId="77777777" w:rsidR="00DB15E9" w:rsidRDefault="0078312E">
            <w:pPr>
              <w:pStyle w:val="ESSPTableText"/>
            </w:pPr>
            <w:r>
              <w:t>0.026 g2/Hz</w:t>
            </w:r>
          </w:p>
        </w:tc>
      </w:tr>
      <w:tr w:rsidR="00DB15E9" w14:paraId="479FE361" w14:textId="77777777">
        <w:tc>
          <w:tcPr>
            <w:tcW w:w="2952" w:type="dxa"/>
          </w:tcPr>
          <w:p w14:paraId="3C11C4E7" w14:textId="77777777" w:rsidR="00DB15E9" w:rsidRDefault="0078312E">
            <w:pPr>
              <w:pStyle w:val="ESSPTableText"/>
            </w:pPr>
            <w:r>
              <w:t>Overall</w:t>
            </w:r>
          </w:p>
        </w:tc>
        <w:tc>
          <w:tcPr>
            <w:tcW w:w="2952" w:type="dxa"/>
          </w:tcPr>
          <w:p w14:paraId="10BBA577" w14:textId="77777777" w:rsidR="00DB15E9" w:rsidRDefault="0078312E">
            <w:pPr>
              <w:pStyle w:val="ESSPTableText"/>
            </w:pPr>
            <w:r>
              <w:t>10.0 grms</w:t>
            </w:r>
          </w:p>
        </w:tc>
        <w:tc>
          <w:tcPr>
            <w:tcW w:w="2952" w:type="dxa"/>
          </w:tcPr>
          <w:p w14:paraId="09C78E04" w14:textId="77777777" w:rsidR="00DB15E9" w:rsidRDefault="0078312E">
            <w:pPr>
              <w:pStyle w:val="ESSPTableText"/>
            </w:pPr>
            <w:r>
              <w:t>14.1 grms</w:t>
            </w:r>
          </w:p>
        </w:tc>
      </w:tr>
    </w:tbl>
    <w:p w14:paraId="5BE2D55B" w14:textId="77777777" w:rsidR="00DB15E9" w:rsidRDefault="00DB15E9">
      <w:pPr>
        <w:pStyle w:val="ESSPBodyText"/>
      </w:pPr>
    </w:p>
    <w:p w14:paraId="281FEB16" w14:textId="77777777" w:rsidR="00DB15E9" w:rsidRDefault="0078312E">
      <w:pPr>
        <w:pStyle w:val="ESSPBodyText"/>
      </w:pPr>
      <w:r>
        <w:t xml:space="preserve">Table 3-6 represents the random vibration environment for instruments with mass </w:t>
      </w:r>
      <w:r>
        <w:rPr>
          <w:rFonts w:cs="Arial"/>
        </w:rPr>
        <w:t xml:space="preserve">less than or equal to </w:t>
      </w:r>
      <w:r>
        <w:t>25 kg and having resonant frequencies greater than 80 Hz.</w:t>
      </w:r>
      <w:r>
        <w:rPr>
          <w:rFonts w:ascii="Times New Roman" w:hAnsi="Times New Roman"/>
          <w:szCs w:val="24"/>
        </w:rPr>
        <w:t xml:space="preserve"> </w:t>
      </w:r>
      <w:r>
        <w:t>Instruments with mass greater than 25 kg may apply the following random vibration environment reductions:</w:t>
      </w:r>
    </w:p>
    <w:p w14:paraId="6B8A7B76" w14:textId="77777777" w:rsidR="00DB15E9" w:rsidRDefault="0078312E">
      <w:pPr>
        <w:pStyle w:val="ESSPNumberedList"/>
        <w:numPr>
          <w:ilvl w:val="0"/>
          <w:numId w:val="9"/>
        </w:numPr>
      </w:pPr>
      <w:r>
        <w:t>The acceleration spectral density (ASD) level may be reduced for components weighing more than 25 kg according to:</w:t>
      </w:r>
    </w:p>
    <w:p w14:paraId="3AAF6138" w14:textId="77777777" w:rsidR="00DB15E9" w:rsidRDefault="0078312E">
      <w:pPr>
        <w:pStyle w:val="ESSPPullQuote"/>
      </w:pPr>
      <w:r>
        <w:t>ASD</w:t>
      </w:r>
      <w:r>
        <w:rPr>
          <w:vertAlign w:val="subscript"/>
        </w:rPr>
        <w:t>new</w:t>
      </w:r>
      <w:r>
        <w:t xml:space="preserve"> = ASD</w:t>
      </w:r>
      <w:r>
        <w:rPr>
          <w:vertAlign w:val="subscript"/>
        </w:rPr>
        <w:t>original</w:t>
      </w:r>
      <w:r>
        <w:t xml:space="preserve">*(25/M) </w:t>
      </w:r>
    </w:p>
    <w:p w14:paraId="753164DA" w14:textId="77777777" w:rsidR="00DB15E9" w:rsidRDefault="0078312E">
      <w:pPr>
        <w:pStyle w:val="ESSPPullQuote"/>
      </w:pPr>
      <w:r>
        <w:t>where M = instrument mass in kg</w:t>
      </w:r>
    </w:p>
    <w:p w14:paraId="02F6F24A" w14:textId="77777777" w:rsidR="00DB15E9" w:rsidRDefault="0078312E">
      <w:pPr>
        <w:pStyle w:val="ESSPNumberedList"/>
        <w:numPr>
          <w:ilvl w:val="0"/>
          <w:numId w:val="9"/>
        </w:numPr>
      </w:pPr>
      <w:r>
        <w:t>The slope is to be maintained (+4.4 dB/octave from 20 to 60 Hz and -6.7 dB/octave from 800 to 2000 Hz) for instruments with mass less than or equal to 65 kg.</w:t>
      </w:r>
      <w:r>
        <w:rPr>
          <w:rFonts w:ascii="Times New Roman" w:hAnsi="Times New Roman"/>
          <w:szCs w:val="24"/>
        </w:rPr>
        <w:t xml:space="preserve"> </w:t>
      </w:r>
      <w:r>
        <w:t>For instruments with mass greater than 65 kg, the slopes should be independently adjusted to maintain an ASD of 0.01 g</w:t>
      </w:r>
      <w:r>
        <w:rPr>
          <w:vertAlign w:val="superscript"/>
        </w:rPr>
        <w:t>2</w:t>
      </w:r>
      <w:r>
        <w:t>/Hz at 20 Hz and at 2000 Hz for qualification testing and an ASD of 0.005 g</w:t>
      </w:r>
      <w:r>
        <w:rPr>
          <w:vertAlign w:val="superscript"/>
        </w:rPr>
        <w:t>2</w:t>
      </w:r>
      <w:r>
        <w:t>/Hz at 20 Hz and at 2000 Hz for acceptance testing.</w:t>
      </w:r>
    </w:p>
    <w:p w14:paraId="56B9B45C" w14:textId="77777777" w:rsidR="00DB15E9" w:rsidRDefault="0078312E">
      <w:pPr>
        <w:pStyle w:val="ESSPBodyText"/>
      </w:pPr>
      <w:r>
        <w:t>Hardware with resonant frequencies below 80 Hz may be designed using only the MAC design loads specified in 3.12.4.4 as the MAC loads include the effect of mechanically transmitted random vibration up to 80 Hz.</w:t>
      </w:r>
    </w:p>
    <w:p w14:paraId="2D48FF19" w14:textId="77777777" w:rsidR="00DB15E9" w:rsidRDefault="0078312E">
      <w:pPr>
        <w:pStyle w:val="ESSPBodyText"/>
      </w:pPr>
      <w:r>
        <w:t>The random vibration levels given in Table 3-6 should be updated based on test data or acoustic analysis of the payload once the launch vehicle specific acoustic environment has been defined.</w:t>
      </w:r>
      <w:r>
        <w:rPr>
          <w:rFonts w:ascii="Times New Roman" w:hAnsi="Times New Roman"/>
          <w:szCs w:val="24"/>
        </w:rPr>
        <w:t xml:space="preserve"> </w:t>
      </w:r>
    </w:p>
    <w:p w14:paraId="646F2C1C"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This guidance represents the need to be compatible with the random vibration that will be experienced during launch ascent.</w:t>
      </w:r>
      <w:r>
        <w:rPr>
          <w:rFonts w:ascii="Times New Roman" w:hAnsi="Times New Roman"/>
          <w:szCs w:val="24"/>
        </w:rPr>
        <w:t xml:space="preserve"> </w:t>
      </w:r>
      <w:r>
        <w:t>The random vibration design guidelines are derived from: (a) launch vehicle-induced acoustic excitations during liftoff, transonic and max-q events; and (b) mechanically transmitted vibration from the engines during upper stage burns.</w:t>
      </w:r>
      <w:r>
        <w:rPr>
          <w:rFonts w:ascii="Times New Roman" w:hAnsi="Times New Roman"/>
          <w:szCs w:val="24"/>
        </w:rPr>
        <w:t xml:space="preserve"> </w:t>
      </w:r>
      <w:r>
        <w:t xml:space="preserve">Based upon CII analysis of the following sources of performance data: the </w:t>
      </w:r>
      <w:r>
        <w:rPr>
          <w:i/>
        </w:rPr>
        <w:t>The CII Guidelines Document, Revision A, GEVS-SE</w:t>
      </w:r>
      <w:r>
        <w:t xml:space="preserve"> and the </w:t>
      </w:r>
      <w:r>
        <w:rPr>
          <w:i/>
        </w:rPr>
        <w:t>USAF HoPS studies data</w:t>
      </w:r>
      <w:r>
        <w:t>,</w:t>
      </w:r>
      <w:r>
        <w:rPr>
          <w:rFonts w:ascii="Times New Roman" w:hAnsi="Times New Roman"/>
          <w:szCs w:val="24"/>
        </w:rPr>
        <w:t xml:space="preserve"> </w:t>
      </w:r>
      <w:r>
        <w:t>an overall protoflight/qual level of</w:t>
      </w:r>
      <w:r>
        <w:rPr>
          <w:rFonts w:ascii="Times New Roman" w:hAnsi="Times New Roman"/>
          <w:szCs w:val="24"/>
        </w:rPr>
        <w:t xml:space="preserve"> </w:t>
      </w:r>
      <w:r>
        <w:t>30.9 g (rms) would maximize hosting opportunity.</w:t>
      </w:r>
      <w:r>
        <w:rPr>
          <w:rFonts w:ascii="Times New Roman" w:hAnsi="Times New Roman"/>
          <w:szCs w:val="24"/>
        </w:rPr>
        <w:t xml:space="preserve"> </w:t>
      </w:r>
      <w:r>
        <w:t>Please note that the random vibration test levels to be used for hardware containing delicate optics, sensors/detectors, and etc., should be notched in frequency bands known to be destructive to such hardware.</w:t>
      </w:r>
    </w:p>
    <w:p w14:paraId="17FC19B2" w14:textId="77777777" w:rsidR="00DB15E9" w:rsidRDefault="0078312E">
      <w:pPr>
        <w:pStyle w:val="Heading4"/>
      </w:pPr>
      <w:bookmarkStart w:id="322" w:name="_Toc471910901"/>
      <w:r>
        <w:lastRenderedPageBreak/>
        <w:t>Acoustic Noise</w:t>
      </w:r>
      <w:bookmarkEnd w:id="322"/>
    </w:p>
    <w:p w14:paraId="3D728E3E" w14:textId="77777777" w:rsidR="00DB15E9" w:rsidRDefault="0078312E">
      <w:pPr>
        <w:pStyle w:val="Requirement"/>
      </w:pPr>
      <w:r>
        <w:t xml:space="preserve">The Instrument should function according to its operational specifications after being subjected to a launch vehicle-induced transient environment represented by the acoustic noise spectra defined in </w:t>
      </w:r>
      <w:r>
        <w:fldChar w:fldCharType="begin"/>
      </w:r>
      <w:r>
        <w:instrText xml:space="preserve"> REF _Ref453069485 \h </w:instrText>
      </w:r>
      <w:r>
        <w:fldChar w:fldCharType="separate"/>
      </w:r>
      <w:r>
        <w:t xml:space="preserve">Table </w:t>
      </w:r>
      <w:r>
        <w:rPr>
          <w:noProof/>
        </w:rPr>
        <w:t>3</w:t>
      </w:r>
      <w:r>
        <w:noBreakHyphen/>
      </w:r>
      <w:r>
        <w:rPr>
          <w:noProof/>
        </w:rPr>
        <w:t>7</w:t>
      </w:r>
      <w:r>
        <w:fldChar w:fldCharType="end"/>
      </w:r>
      <w:r>
        <w:t>.</w:t>
      </w:r>
    </w:p>
    <w:p w14:paraId="6EC7AC6C" w14:textId="77777777" w:rsidR="00DB15E9" w:rsidRDefault="0078312E">
      <w:pPr>
        <w:pStyle w:val="ESSPTableCaption"/>
      </w:pPr>
      <w:bookmarkStart w:id="323" w:name="_Ref453069485"/>
      <w:bookmarkStart w:id="324" w:name="_Toc471971567"/>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7</w:t>
      </w:r>
      <w:r w:rsidR="00BA5284">
        <w:rPr>
          <w:noProof/>
        </w:rPr>
        <w:fldChar w:fldCharType="end"/>
      </w:r>
      <w:bookmarkEnd w:id="323"/>
      <w:r>
        <w:t>: Acoustic Noise Environment</w:t>
      </w:r>
      <w:bookmarkEnd w:id="324"/>
    </w:p>
    <w:tbl>
      <w:tblPr>
        <w:tblStyle w:val="TableGrid8"/>
        <w:tblW w:w="8928" w:type="dxa"/>
        <w:tblLayout w:type="fixed"/>
        <w:tblLook w:val="04A0" w:firstRow="1" w:lastRow="0" w:firstColumn="1" w:lastColumn="0" w:noHBand="0" w:noVBand="1"/>
      </w:tblPr>
      <w:tblGrid>
        <w:gridCol w:w="2718"/>
        <w:gridCol w:w="2880"/>
        <w:gridCol w:w="3330"/>
      </w:tblGrid>
      <w:tr w:rsidR="00DB15E9" w14:paraId="4EA544DD" w14:textId="77777777" w:rsidTr="00DB15E9">
        <w:trPr>
          <w:cnfStyle w:val="100000000000" w:firstRow="1" w:lastRow="0" w:firstColumn="0" w:lastColumn="0" w:oddVBand="0" w:evenVBand="0" w:oddHBand="0" w:evenHBand="0" w:firstRowFirstColumn="0" w:firstRowLastColumn="0" w:lastRowFirstColumn="0" w:lastRowLastColumn="0"/>
        </w:trPr>
        <w:tc>
          <w:tcPr>
            <w:tcW w:w="2718" w:type="dxa"/>
          </w:tcPr>
          <w:p w14:paraId="7D2EAB82" w14:textId="77777777" w:rsidR="00DB15E9" w:rsidRDefault="0078312E">
            <w:pPr>
              <w:pStyle w:val="ESSPTableCaption"/>
              <w:tabs>
                <w:tab w:val="clear" w:pos="1440"/>
                <w:tab w:val="clear" w:pos="4140"/>
                <w:tab w:val="clear" w:pos="7920"/>
              </w:tabs>
              <w:spacing w:before="0" w:after="0"/>
              <w:rPr>
                <w:b/>
              </w:rPr>
            </w:pPr>
            <w:r>
              <w:rPr>
                <w:b/>
              </w:rPr>
              <w:t>1/3 Octave Band Center Frequency (Hz)"</w:t>
            </w:r>
          </w:p>
        </w:tc>
        <w:tc>
          <w:tcPr>
            <w:tcW w:w="2880" w:type="dxa"/>
          </w:tcPr>
          <w:p w14:paraId="0276993C" w14:textId="77777777" w:rsidR="00DB15E9" w:rsidRDefault="0078312E">
            <w:pPr>
              <w:pStyle w:val="ESSPTableCaption"/>
              <w:tabs>
                <w:tab w:val="clear" w:pos="1440"/>
                <w:tab w:val="clear" w:pos="4140"/>
                <w:tab w:val="clear" w:pos="7920"/>
              </w:tabs>
              <w:spacing w:before="0" w:after="0"/>
              <w:rPr>
                <w:b/>
              </w:rPr>
            </w:pPr>
            <w:r>
              <w:rPr>
                <w:b/>
              </w:rPr>
              <w:t>Design/Qual/Protoflight</w:t>
            </w:r>
            <w:r>
              <w:rPr>
                <w:b/>
              </w:rPr>
              <w:br/>
              <w:t>(dB w/ 20 µPa reference)"</w:t>
            </w:r>
          </w:p>
        </w:tc>
        <w:tc>
          <w:tcPr>
            <w:tcW w:w="3330" w:type="dxa"/>
          </w:tcPr>
          <w:p w14:paraId="1AE141C8" w14:textId="77777777" w:rsidR="00DB15E9" w:rsidRDefault="0078312E">
            <w:pPr>
              <w:pStyle w:val="ESSPTableCaption"/>
              <w:tabs>
                <w:tab w:val="clear" w:pos="1440"/>
                <w:tab w:val="clear" w:pos="4140"/>
                <w:tab w:val="clear" w:pos="7920"/>
              </w:tabs>
              <w:spacing w:before="0" w:after="0"/>
              <w:rPr>
                <w:b/>
              </w:rPr>
            </w:pPr>
            <w:r>
              <w:rPr>
                <w:b/>
              </w:rPr>
              <w:t>Acceptance</w:t>
            </w:r>
            <w:r>
              <w:rPr>
                <w:b/>
              </w:rPr>
              <w:br/>
              <w:t>(dB w/ 20 µPa reference)"</w:t>
            </w:r>
          </w:p>
        </w:tc>
      </w:tr>
      <w:tr w:rsidR="00DB15E9" w14:paraId="35A5EBAC" w14:textId="77777777" w:rsidTr="00DB15E9">
        <w:tc>
          <w:tcPr>
            <w:tcW w:w="2718" w:type="dxa"/>
          </w:tcPr>
          <w:p w14:paraId="354FAD66" w14:textId="77777777" w:rsidR="00DB15E9" w:rsidRDefault="0078312E">
            <w:pPr>
              <w:pStyle w:val="ESSPTableCaption"/>
              <w:tabs>
                <w:tab w:val="clear" w:pos="1440"/>
                <w:tab w:val="clear" w:pos="4140"/>
                <w:tab w:val="clear" w:pos="7920"/>
              </w:tabs>
              <w:spacing w:before="0" w:after="0"/>
              <w:rPr>
                <w:rFonts w:cs="Arial"/>
                <w:b w:val="0"/>
                <w:szCs w:val="22"/>
              </w:rPr>
            </w:pPr>
            <w:r>
              <w:rPr>
                <w:b w:val="0"/>
              </w:rPr>
              <w:t>20</w:t>
            </w:r>
          </w:p>
        </w:tc>
        <w:tc>
          <w:tcPr>
            <w:tcW w:w="2880" w:type="dxa"/>
            <w:vAlign w:val="center"/>
          </w:tcPr>
          <w:p w14:paraId="4CBBF71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129.5</w:t>
            </w:r>
          </w:p>
        </w:tc>
        <w:tc>
          <w:tcPr>
            <w:tcW w:w="3330" w:type="dxa"/>
            <w:vAlign w:val="center"/>
          </w:tcPr>
          <w:p w14:paraId="62035A23"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126.5</w:t>
            </w:r>
          </w:p>
        </w:tc>
      </w:tr>
      <w:tr w:rsidR="00DB15E9" w14:paraId="7BA1A7B8" w14:textId="77777777" w:rsidTr="00DB15E9">
        <w:tc>
          <w:tcPr>
            <w:tcW w:w="2718" w:type="dxa"/>
          </w:tcPr>
          <w:p w14:paraId="394F0219"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25</w:t>
            </w:r>
          </w:p>
        </w:tc>
        <w:tc>
          <w:tcPr>
            <w:tcW w:w="2880" w:type="dxa"/>
            <w:vAlign w:val="center"/>
          </w:tcPr>
          <w:p w14:paraId="2710400A"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130.7</w:t>
            </w:r>
          </w:p>
        </w:tc>
        <w:tc>
          <w:tcPr>
            <w:tcW w:w="3330" w:type="dxa"/>
            <w:vAlign w:val="center"/>
          </w:tcPr>
          <w:p w14:paraId="357599FF"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127.7</w:t>
            </w:r>
          </w:p>
        </w:tc>
      </w:tr>
      <w:tr w:rsidR="00DB15E9" w14:paraId="3BF9BA5F" w14:textId="77777777" w:rsidTr="00DB15E9">
        <w:tc>
          <w:tcPr>
            <w:tcW w:w="2718" w:type="dxa"/>
          </w:tcPr>
          <w:p w14:paraId="03AC471E"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31.5</w:t>
            </w:r>
          </w:p>
        </w:tc>
        <w:tc>
          <w:tcPr>
            <w:tcW w:w="2880" w:type="dxa"/>
            <w:vAlign w:val="center"/>
          </w:tcPr>
          <w:p w14:paraId="0330F463"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130.0</w:t>
            </w:r>
          </w:p>
        </w:tc>
        <w:tc>
          <w:tcPr>
            <w:tcW w:w="3330" w:type="dxa"/>
            <w:vAlign w:val="center"/>
          </w:tcPr>
          <w:p w14:paraId="081C2D12"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127.0</w:t>
            </w:r>
          </w:p>
        </w:tc>
      </w:tr>
      <w:tr w:rsidR="00DB15E9" w14:paraId="3565B058" w14:textId="77777777" w:rsidTr="00DB15E9">
        <w:tc>
          <w:tcPr>
            <w:tcW w:w="2718" w:type="dxa"/>
          </w:tcPr>
          <w:p w14:paraId="766FAD22"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40</w:t>
            </w:r>
          </w:p>
        </w:tc>
        <w:tc>
          <w:tcPr>
            <w:tcW w:w="2880" w:type="dxa"/>
            <w:vAlign w:val="center"/>
          </w:tcPr>
          <w:p w14:paraId="3551F21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131.5</w:t>
            </w:r>
          </w:p>
        </w:tc>
        <w:tc>
          <w:tcPr>
            <w:tcW w:w="3330" w:type="dxa"/>
            <w:vAlign w:val="center"/>
          </w:tcPr>
          <w:p w14:paraId="23C0C581"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128.5</w:t>
            </w:r>
          </w:p>
        </w:tc>
      </w:tr>
      <w:tr w:rsidR="00DB15E9" w14:paraId="0A3AC603" w14:textId="77777777" w:rsidTr="00DB15E9">
        <w:tc>
          <w:tcPr>
            <w:tcW w:w="2718" w:type="dxa"/>
          </w:tcPr>
          <w:p w14:paraId="192AE894"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50</w:t>
            </w:r>
          </w:p>
        </w:tc>
        <w:tc>
          <w:tcPr>
            <w:tcW w:w="2880" w:type="dxa"/>
            <w:vAlign w:val="center"/>
          </w:tcPr>
          <w:p w14:paraId="1E29299E"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133.0</w:t>
            </w:r>
          </w:p>
        </w:tc>
        <w:tc>
          <w:tcPr>
            <w:tcW w:w="3330" w:type="dxa"/>
            <w:vAlign w:val="center"/>
          </w:tcPr>
          <w:p w14:paraId="2C2E608D"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130.0</w:t>
            </w:r>
          </w:p>
        </w:tc>
      </w:tr>
      <w:tr w:rsidR="00DB15E9" w14:paraId="4BF83012" w14:textId="77777777" w:rsidTr="00DB15E9">
        <w:tc>
          <w:tcPr>
            <w:tcW w:w="2718" w:type="dxa"/>
          </w:tcPr>
          <w:p w14:paraId="0BCB0AD4"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63</w:t>
            </w:r>
          </w:p>
        </w:tc>
        <w:tc>
          <w:tcPr>
            <w:tcW w:w="2880" w:type="dxa"/>
            <w:vAlign w:val="center"/>
          </w:tcPr>
          <w:p w14:paraId="076B212A"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134.5</w:t>
            </w:r>
          </w:p>
        </w:tc>
        <w:tc>
          <w:tcPr>
            <w:tcW w:w="3330" w:type="dxa"/>
            <w:vAlign w:val="center"/>
          </w:tcPr>
          <w:p w14:paraId="33E3F9F0"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131.5</w:t>
            </w:r>
          </w:p>
        </w:tc>
      </w:tr>
      <w:tr w:rsidR="00DB15E9" w14:paraId="607BCC5F" w14:textId="77777777" w:rsidTr="00DB15E9">
        <w:tc>
          <w:tcPr>
            <w:tcW w:w="2718" w:type="dxa"/>
          </w:tcPr>
          <w:p w14:paraId="0B59121C"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80</w:t>
            </w:r>
          </w:p>
        </w:tc>
        <w:tc>
          <w:tcPr>
            <w:tcW w:w="2880" w:type="dxa"/>
            <w:vAlign w:val="center"/>
          </w:tcPr>
          <w:p w14:paraId="73188167"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135.5</w:t>
            </w:r>
          </w:p>
        </w:tc>
        <w:tc>
          <w:tcPr>
            <w:tcW w:w="3330" w:type="dxa"/>
            <w:vAlign w:val="center"/>
          </w:tcPr>
          <w:p w14:paraId="0E29465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132.5</w:t>
            </w:r>
          </w:p>
        </w:tc>
      </w:tr>
      <w:tr w:rsidR="00DB15E9" w14:paraId="06018B70" w14:textId="77777777" w:rsidTr="00DB15E9">
        <w:tc>
          <w:tcPr>
            <w:tcW w:w="2718" w:type="dxa"/>
          </w:tcPr>
          <w:p w14:paraId="085C39C6"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100</w:t>
            </w:r>
          </w:p>
        </w:tc>
        <w:tc>
          <w:tcPr>
            <w:tcW w:w="2880" w:type="dxa"/>
            <w:vAlign w:val="center"/>
          </w:tcPr>
          <w:p w14:paraId="55210B90"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136.0</w:t>
            </w:r>
          </w:p>
        </w:tc>
        <w:tc>
          <w:tcPr>
            <w:tcW w:w="3330" w:type="dxa"/>
            <w:vAlign w:val="center"/>
          </w:tcPr>
          <w:p w14:paraId="6FC57AB6"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133.0</w:t>
            </w:r>
          </w:p>
        </w:tc>
      </w:tr>
      <w:tr w:rsidR="00DB15E9" w14:paraId="1E664462" w14:textId="77777777" w:rsidTr="00DB15E9">
        <w:tc>
          <w:tcPr>
            <w:tcW w:w="2718" w:type="dxa"/>
          </w:tcPr>
          <w:p w14:paraId="044EE9C9"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125</w:t>
            </w:r>
          </w:p>
        </w:tc>
        <w:tc>
          <w:tcPr>
            <w:tcW w:w="2880" w:type="dxa"/>
            <w:vAlign w:val="center"/>
          </w:tcPr>
          <w:p w14:paraId="626B69EE"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136.8</w:t>
            </w:r>
          </w:p>
        </w:tc>
        <w:tc>
          <w:tcPr>
            <w:tcW w:w="3330" w:type="dxa"/>
            <w:vAlign w:val="center"/>
          </w:tcPr>
          <w:p w14:paraId="4DCBCC37"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133.8</w:t>
            </w:r>
          </w:p>
        </w:tc>
      </w:tr>
      <w:tr w:rsidR="00DB15E9" w14:paraId="5CB807B1" w14:textId="77777777" w:rsidTr="00DB15E9">
        <w:tc>
          <w:tcPr>
            <w:tcW w:w="2718" w:type="dxa"/>
          </w:tcPr>
          <w:p w14:paraId="545A1461"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160</w:t>
            </w:r>
          </w:p>
        </w:tc>
        <w:tc>
          <w:tcPr>
            <w:tcW w:w="2880" w:type="dxa"/>
            <w:vAlign w:val="center"/>
          </w:tcPr>
          <w:p w14:paraId="1ECCB098"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136.7</w:t>
            </w:r>
          </w:p>
        </w:tc>
        <w:tc>
          <w:tcPr>
            <w:tcW w:w="3330" w:type="dxa"/>
            <w:vAlign w:val="center"/>
          </w:tcPr>
          <w:p w14:paraId="2D9F8B8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133.7</w:t>
            </w:r>
          </w:p>
        </w:tc>
      </w:tr>
      <w:tr w:rsidR="00DB15E9" w14:paraId="423EECD1" w14:textId="77777777" w:rsidTr="00DB15E9">
        <w:tc>
          <w:tcPr>
            <w:tcW w:w="2718" w:type="dxa"/>
          </w:tcPr>
          <w:p w14:paraId="1B0BE8BF"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200</w:t>
            </w:r>
          </w:p>
        </w:tc>
        <w:tc>
          <w:tcPr>
            <w:tcW w:w="2880" w:type="dxa"/>
            <w:vAlign w:val="center"/>
          </w:tcPr>
          <w:p w14:paraId="32EC99E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136.0</w:t>
            </w:r>
          </w:p>
        </w:tc>
        <w:tc>
          <w:tcPr>
            <w:tcW w:w="3330" w:type="dxa"/>
            <w:vAlign w:val="center"/>
          </w:tcPr>
          <w:p w14:paraId="39D883A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133.0</w:t>
            </w:r>
          </w:p>
        </w:tc>
      </w:tr>
      <w:tr w:rsidR="00DB15E9" w14:paraId="33850CD3" w14:textId="77777777" w:rsidTr="00DB15E9">
        <w:tc>
          <w:tcPr>
            <w:tcW w:w="2718" w:type="dxa"/>
          </w:tcPr>
          <w:p w14:paraId="030FD749"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250</w:t>
            </w:r>
          </w:p>
        </w:tc>
        <w:tc>
          <w:tcPr>
            <w:tcW w:w="2880" w:type="dxa"/>
            <w:vAlign w:val="center"/>
          </w:tcPr>
          <w:p w14:paraId="11C2B85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136.0</w:t>
            </w:r>
          </w:p>
        </w:tc>
        <w:tc>
          <w:tcPr>
            <w:tcW w:w="3330" w:type="dxa"/>
            <w:vAlign w:val="center"/>
          </w:tcPr>
          <w:p w14:paraId="762639D1"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133.0</w:t>
            </w:r>
          </w:p>
        </w:tc>
      </w:tr>
      <w:tr w:rsidR="00DB15E9" w14:paraId="3D79A7E3" w14:textId="77777777" w:rsidTr="00DB15E9">
        <w:tc>
          <w:tcPr>
            <w:tcW w:w="2718" w:type="dxa"/>
          </w:tcPr>
          <w:p w14:paraId="1249C4E9"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315</w:t>
            </w:r>
          </w:p>
        </w:tc>
        <w:tc>
          <w:tcPr>
            <w:tcW w:w="2880" w:type="dxa"/>
            <w:vAlign w:val="center"/>
          </w:tcPr>
          <w:p w14:paraId="3313D25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136.0</w:t>
            </w:r>
          </w:p>
        </w:tc>
        <w:tc>
          <w:tcPr>
            <w:tcW w:w="3330" w:type="dxa"/>
            <w:vAlign w:val="center"/>
          </w:tcPr>
          <w:p w14:paraId="1A79608C"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133.0</w:t>
            </w:r>
          </w:p>
        </w:tc>
      </w:tr>
      <w:tr w:rsidR="00DB15E9" w14:paraId="12DABD7B" w14:textId="77777777" w:rsidTr="00DB15E9">
        <w:tc>
          <w:tcPr>
            <w:tcW w:w="2718" w:type="dxa"/>
          </w:tcPr>
          <w:p w14:paraId="7F2A7ECF"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400</w:t>
            </w:r>
          </w:p>
        </w:tc>
        <w:tc>
          <w:tcPr>
            <w:tcW w:w="2880" w:type="dxa"/>
            <w:vAlign w:val="center"/>
          </w:tcPr>
          <w:p w14:paraId="1C4FD91E"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134.0</w:t>
            </w:r>
          </w:p>
        </w:tc>
        <w:tc>
          <w:tcPr>
            <w:tcW w:w="3330" w:type="dxa"/>
            <w:vAlign w:val="center"/>
          </w:tcPr>
          <w:p w14:paraId="3E490893"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131.0</w:t>
            </w:r>
          </w:p>
        </w:tc>
      </w:tr>
      <w:tr w:rsidR="00DB15E9" w14:paraId="12067763" w14:textId="77777777" w:rsidTr="00DB15E9">
        <w:tc>
          <w:tcPr>
            <w:tcW w:w="2718" w:type="dxa"/>
          </w:tcPr>
          <w:p w14:paraId="6CA3D57F"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500</w:t>
            </w:r>
          </w:p>
        </w:tc>
        <w:tc>
          <w:tcPr>
            <w:tcW w:w="2880" w:type="dxa"/>
            <w:vAlign w:val="center"/>
          </w:tcPr>
          <w:p w14:paraId="644263B8"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132.0</w:t>
            </w:r>
          </w:p>
        </w:tc>
        <w:tc>
          <w:tcPr>
            <w:tcW w:w="3330" w:type="dxa"/>
            <w:vAlign w:val="center"/>
          </w:tcPr>
          <w:p w14:paraId="61F869FA"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129.0</w:t>
            </w:r>
          </w:p>
        </w:tc>
      </w:tr>
      <w:tr w:rsidR="00DB15E9" w14:paraId="6B04B628" w14:textId="77777777" w:rsidTr="00DB15E9">
        <w:tc>
          <w:tcPr>
            <w:tcW w:w="2718" w:type="dxa"/>
          </w:tcPr>
          <w:p w14:paraId="1D1EC318"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630</w:t>
            </w:r>
          </w:p>
        </w:tc>
        <w:tc>
          <w:tcPr>
            <w:tcW w:w="2880" w:type="dxa"/>
            <w:vAlign w:val="center"/>
          </w:tcPr>
          <w:p w14:paraId="402F370D"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131.4</w:t>
            </w:r>
          </w:p>
        </w:tc>
        <w:tc>
          <w:tcPr>
            <w:tcW w:w="3330" w:type="dxa"/>
            <w:vAlign w:val="center"/>
          </w:tcPr>
          <w:p w14:paraId="6E5FC490"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128.4</w:t>
            </w:r>
          </w:p>
        </w:tc>
      </w:tr>
      <w:tr w:rsidR="00DB15E9" w14:paraId="3B5A0B5B" w14:textId="77777777" w:rsidTr="00DB15E9">
        <w:tc>
          <w:tcPr>
            <w:tcW w:w="2718" w:type="dxa"/>
          </w:tcPr>
          <w:p w14:paraId="2ECD0176"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800</w:t>
            </w:r>
          </w:p>
        </w:tc>
        <w:tc>
          <w:tcPr>
            <w:tcW w:w="2880" w:type="dxa"/>
            <w:vAlign w:val="center"/>
          </w:tcPr>
          <w:p w14:paraId="09BDD91F"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131.6</w:t>
            </w:r>
          </w:p>
        </w:tc>
        <w:tc>
          <w:tcPr>
            <w:tcW w:w="3330" w:type="dxa"/>
            <w:vAlign w:val="center"/>
          </w:tcPr>
          <w:p w14:paraId="533F3827"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128.6</w:t>
            </w:r>
          </w:p>
        </w:tc>
      </w:tr>
      <w:tr w:rsidR="00DB15E9" w14:paraId="376C6CF9" w14:textId="77777777" w:rsidTr="00DB15E9">
        <w:tc>
          <w:tcPr>
            <w:tcW w:w="2718" w:type="dxa"/>
          </w:tcPr>
          <w:p w14:paraId="08727E13"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1000</w:t>
            </w:r>
          </w:p>
        </w:tc>
        <w:tc>
          <w:tcPr>
            <w:tcW w:w="2880" w:type="dxa"/>
            <w:vAlign w:val="center"/>
          </w:tcPr>
          <w:p w14:paraId="2B5B547A"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129.9</w:t>
            </w:r>
          </w:p>
        </w:tc>
        <w:tc>
          <w:tcPr>
            <w:tcW w:w="3330" w:type="dxa"/>
            <w:vAlign w:val="center"/>
          </w:tcPr>
          <w:p w14:paraId="69C4A14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126.9</w:t>
            </w:r>
          </w:p>
        </w:tc>
      </w:tr>
      <w:tr w:rsidR="00DB15E9" w14:paraId="2956E80B" w14:textId="77777777" w:rsidTr="00DB15E9">
        <w:tc>
          <w:tcPr>
            <w:tcW w:w="2718" w:type="dxa"/>
          </w:tcPr>
          <w:p w14:paraId="559D652C"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1250</w:t>
            </w:r>
          </w:p>
        </w:tc>
        <w:tc>
          <w:tcPr>
            <w:tcW w:w="2880" w:type="dxa"/>
            <w:vAlign w:val="center"/>
          </w:tcPr>
          <w:p w14:paraId="123F253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126.1</w:t>
            </w:r>
          </w:p>
        </w:tc>
        <w:tc>
          <w:tcPr>
            <w:tcW w:w="3330" w:type="dxa"/>
            <w:vAlign w:val="center"/>
          </w:tcPr>
          <w:p w14:paraId="1B83C630"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123.1</w:t>
            </w:r>
          </w:p>
        </w:tc>
      </w:tr>
      <w:tr w:rsidR="00DB15E9" w14:paraId="5E7FE3CB" w14:textId="77777777" w:rsidTr="00DB15E9">
        <w:tc>
          <w:tcPr>
            <w:tcW w:w="2718" w:type="dxa"/>
          </w:tcPr>
          <w:p w14:paraId="0610C837"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1600</w:t>
            </w:r>
          </w:p>
        </w:tc>
        <w:tc>
          <w:tcPr>
            <w:tcW w:w="2880" w:type="dxa"/>
            <w:vAlign w:val="center"/>
          </w:tcPr>
          <w:p w14:paraId="4CDD8DC4"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121.3</w:t>
            </w:r>
          </w:p>
        </w:tc>
        <w:tc>
          <w:tcPr>
            <w:tcW w:w="3330" w:type="dxa"/>
            <w:vAlign w:val="center"/>
          </w:tcPr>
          <w:p w14:paraId="6A94835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118.3</w:t>
            </w:r>
          </w:p>
        </w:tc>
      </w:tr>
      <w:tr w:rsidR="00DB15E9" w14:paraId="2F4CDC73" w14:textId="77777777" w:rsidTr="00DB15E9">
        <w:tc>
          <w:tcPr>
            <w:tcW w:w="2718" w:type="dxa"/>
          </w:tcPr>
          <w:p w14:paraId="6B52C340"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2000</w:t>
            </w:r>
          </w:p>
        </w:tc>
        <w:tc>
          <w:tcPr>
            <w:tcW w:w="2880" w:type="dxa"/>
            <w:vAlign w:val="center"/>
          </w:tcPr>
          <w:p w14:paraId="61196CA7"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119.5</w:t>
            </w:r>
          </w:p>
        </w:tc>
        <w:tc>
          <w:tcPr>
            <w:tcW w:w="3330" w:type="dxa"/>
            <w:vAlign w:val="center"/>
          </w:tcPr>
          <w:p w14:paraId="276A2CFE"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116.5</w:t>
            </w:r>
          </w:p>
        </w:tc>
      </w:tr>
      <w:tr w:rsidR="00DB15E9" w14:paraId="61C550D9" w14:textId="77777777" w:rsidTr="00DB15E9">
        <w:tc>
          <w:tcPr>
            <w:tcW w:w="2718" w:type="dxa"/>
          </w:tcPr>
          <w:p w14:paraId="32B1E8E4"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2500</w:t>
            </w:r>
          </w:p>
        </w:tc>
        <w:tc>
          <w:tcPr>
            <w:tcW w:w="2880" w:type="dxa"/>
            <w:vAlign w:val="center"/>
          </w:tcPr>
          <w:p w14:paraId="6E4046BF"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118.0</w:t>
            </w:r>
          </w:p>
        </w:tc>
        <w:tc>
          <w:tcPr>
            <w:tcW w:w="3330" w:type="dxa"/>
            <w:vAlign w:val="center"/>
          </w:tcPr>
          <w:p w14:paraId="32E6F803"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115.0</w:t>
            </w:r>
          </w:p>
        </w:tc>
      </w:tr>
      <w:tr w:rsidR="00DB15E9" w14:paraId="5276001C" w14:textId="77777777" w:rsidTr="00DB15E9">
        <w:tc>
          <w:tcPr>
            <w:tcW w:w="2718" w:type="dxa"/>
          </w:tcPr>
          <w:p w14:paraId="69BB72CA"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3150</w:t>
            </w:r>
          </w:p>
        </w:tc>
        <w:tc>
          <w:tcPr>
            <w:tcW w:w="2880" w:type="dxa"/>
            <w:vAlign w:val="center"/>
          </w:tcPr>
          <w:p w14:paraId="572FA70B"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116.1</w:t>
            </w:r>
          </w:p>
        </w:tc>
        <w:tc>
          <w:tcPr>
            <w:tcW w:w="3330" w:type="dxa"/>
            <w:vAlign w:val="center"/>
          </w:tcPr>
          <w:p w14:paraId="5A282DE8"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113.1</w:t>
            </w:r>
          </w:p>
        </w:tc>
      </w:tr>
      <w:tr w:rsidR="00DB15E9" w14:paraId="5FD57C49" w14:textId="77777777" w:rsidTr="00DB15E9">
        <w:tc>
          <w:tcPr>
            <w:tcW w:w="2718" w:type="dxa"/>
          </w:tcPr>
          <w:p w14:paraId="13EF226B"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4000</w:t>
            </w:r>
          </w:p>
        </w:tc>
        <w:tc>
          <w:tcPr>
            <w:tcW w:w="2880" w:type="dxa"/>
            <w:vAlign w:val="center"/>
          </w:tcPr>
          <w:p w14:paraId="58081A18"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115.5</w:t>
            </w:r>
          </w:p>
        </w:tc>
        <w:tc>
          <w:tcPr>
            <w:tcW w:w="3330" w:type="dxa"/>
            <w:vAlign w:val="center"/>
          </w:tcPr>
          <w:p w14:paraId="49DDDF8A"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112.5</w:t>
            </w:r>
          </w:p>
        </w:tc>
      </w:tr>
      <w:tr w:rsidR="00DB15E9" w14:paraId="69100EA8" w14:textId="77777777" w:rsidTr="00DB15E9">
        <w:tc>
          <w:tcPr>
            <w:tcW w:w="2718" w:type="dxa"/>
          </w:tcPr>
          <w:p w14:paraId="1C0DDD7B"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5000</w:t>
            </w:r>
          </w:p>
        </w:tc>
        <w:tc>
          <w:tcPr>
            <w:tcW w:w="2880" w:type="dxa"/>
            <w:vAlign w:val="center"/>
          </w:tcPr>
          <w:p w14:paraId="5AF66CCE"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114.8</w:t>
            </w:r>
          </w:p>
        </w:tc>
        <w:tc>
          <w:tcPr>
            <w:tcW w:w="3330" w:type="dxa"/>
            <w:vAlign w:val="center"/>
          </w:tcPr>
          <w:p w14:paraId="3AB912B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111.8</w:t>
            </w:r>
          </w:p>
        </w:tc>
      </w:tr>
      <w:tr w:rsidR="00DB15E9" w14:paraId="310A52A6" w14:textId="77777777" w:rsidTr="00DB15E9">
        <w:tc>
          <w:tcPr>
            <w:tcW w:w="2718" w:type="dxa"/>
          </w:tcPr>
          <w:p w14:paraId="280F3FDD" w14:textId="77777777" w:rsidR="00DB15E9" w:rsidRDefault="0078312E">
            <w:pPr>
              <w:pStyle w:val="ESSPTableCaption"/>
              <w:tabs>
                <w:tab w:val="clear" w:pos="1440"/>
                <w:tab w:val="clear" w:pos="4140"/>
                <w:tab w:val="clear" w:pos="7920"/>
              </w:tabs>
              <w:spacing w:before="0" w:after="0"/>
              <w:rPr>
                <w:rFonts w:cs="Arial"/>
                <w:b w:val="0"/>
                <w:szCs w:val="22"/>
              </w:rPr>
            </w:pPr>
            <w:r>
              <w:rPr>
                <w:rFonts w:cs="Arial"/>
                <w:b w:val="0"/>
                <w:szCs w:val="22"/>
              </w:rPr>
              <w:t>6300</w:t>
            </w:r>
          </w:p>
        </w:tc>
        <w:tc>
          <w:tcPr>
            <w:tcW w:w="2880" w:type="dxa"/>
            <w:vAlign w:val="center"/>
          </w:tcPr>
          <w:p w14:paraId="6C11CC49"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114.0</w:t>
            </w:r>
          </w:p>
        </w:tc>
        <w:tc>
          <w:tcPr>
            <w:tcW w:w="3330" w:type="dxa"/>
            <w:vAlign w:val="center"/>
          </w:tcPr>
          <w:p w14:paraId="01D705E8" w14:textId="77777777" w:rsidR="00DB15E9" w:rsidRDefault="0078312E">
            <w:pPr>
              <w:pStyle w:val="ESSPTableCaption"/>
              <w:tabs>
                <w:tab w:val="clear" w:pos="1440"/>
                <w:tab w:val="clear" w:pos="4140"/>
                <w:tab w:val="clear" w:pos="7920"/>
              </w:tabs>
              <w:spacing w:before="0" w:after="0"/>
              <w:rPr>
                <w:rFonts w:cs="Arial"/>
                <w:b w:val="0"/>
                <w:szCs w:val="22"/>
              </w:rPr>
            </w:pPr>
            <w:r>
              <w:rPr>
                <w:rFonts w:ascii="Calibri" w:hAnsi="Calibri"/>
                <w:color w:val="000000"/>
                <w:szCs w:val="22"/>
              </w:rPr>
              <w:t xml:space="preserve"> 111.0</w:t>
            </w:r>
          </w:p>
        </w:tc>
      </w:tr>
      <w:tr w:rsidR="00DB15E9" w14:paraId="1F9FCC39" w14:textId="77777777" w:rsidTr="00DB15E9">
        <w:tc>
          <w:tcPr>
            <w:tcW w:w="2718" w:type="dxa"/>
          </w:tcPr>
          <w:p w14:paraId="74117B14" w14:textId="77777777" w:rsidR="00DB15E9" w:rsidRDefault="0078312E">
            <w:pPr>
              <w:pStyle w:val="ESSPTableCaption"/>
              <w:keepNext w:val="0"/>
              <w:tabs>
                <w:tab w:val="clear" w:pos="1440"/>
                <w:tab w:val="clear" w:pos="4140"/>
                <w:tab w:val="clear" w:pos="7920"/>
              </w:tabs>
              <w:spacing w:before="0" w:after="0"/>
              <w:rPr>
                <w:rFonts w:cs="Arial"/>
                <w:b w:val="0"/>
                <w:szCs w:val="22"/>
              </w:rPr>
            </w:pPr>
            <w:r>
              <w:rPr>
                <w:rFonts w:cs="Arial"/>
                <w:b w:val="0"/>
                <w:szCs w:val="22"/>
              </w:rPr>
              <w:t>8000</w:t>
            </w:r>
          </w:p>
        </w:tc>
        <w:tc>
          <w:tcPr>
            <w:tcW w:w="2880" w:type="dxa"/>
            <w:vAlign w:val="center"/>
          </w:tcPr>
          <w:p w14:paraId="5DAB97C3" w14:textId="77777777" w:rsidR="00DB15E9" w:rsidRDefault="0078312E">
            <w:pPr>
              <w:pStyle w:val="ESSPTableCaption"/>
              <w:keepNext w:val="0"/>
              <w:tabs>
                <w:tab w:val="clear" w:pos="1440"/>
                <w:tab w:val="clear" w:pos="4140"/>
                <w:tab w:val="clear" w:pos="7920"/>
              </w:tabs>
              <w:spacing w:before="0" w:after="0"/>
              <w:rPr>
                <w:rFonts w:cs="Arial"/>
                <w:b w:val="0"/>
                <w:szCs w:val="22"/>
              </w:rPr>
            </w:pPr>
            <w:r>
              <w:rPr>
                <w:rFonts w:ascii="Calibri" w:hAnsi="Calibri"/>
                <w:color w:val="000000"/>
                <w:szCs w:val="22"/>
              </w:rPr>
              <w:t xml:space="preserve"> 113.0</w:t>
            </w:r>
          </w:p>
        </w:tc>
        <w:tc>
          <w:tcPr>
            <w:tcW w:w="3330" w:type="dxa"/>
            <w:vAlign w:val="center"/>
          </w:tcPr>
          <w:p w14:paraId="1AEA0A74" w14:textId="77777777" w:rsidR="00DB15E9" w:rsidRDefault="0078312E">
            <w:pPr>
              <w:pStyle w:val="ESSPTableCaption"/>
              <w:keepNext w:val="0"/>
              <w:tabs>
                <w:tab w:val="clear" w:pos="1440"/>
                <w:tab w:val="clear" w:pos="4140"/>
                <w:tab w:val="clear" w:pos="7920"/>
              </w:tabs>
              <w:spacing w:before="0" w:after="0"/>
              <w:rPr>
                <w:rFonts w:cs="Arial"/>
                <w:b w:val="0"/>
                <w:szCs w:val="22"/>
              </w:rPr>
            </w:pPr>
            <w:r>
              <w:rPr>
                <w:rFonts w:ascii="Calibri" w:hAnsi="Calibri"/>
                <w:color w:val="000000"/>
                <w:szCs w:val="22"/>
              </w:rPr>
              <w:t xml:space="preserve"> 110.0</w:t>
            </w:r>
          </w:p>
        </w:tc>
      </w:tr>
      <w:tr w:rsidR="00DB15E9" w14:paraId="66212329" w14:textId="77777777" w:rsidTr="00DB15E9">
        <w:tc>
          <w:tcPr>
            <w:tcW w:w="2718" w:type="dxa"/>
          </w:tcPr>
          <w:p w14:paraId="506A7681" w14:textId="77777777" w:rsidR="00DB15E9" w:rsidRDefault="0078312E">
            <w:pPr>
              <w:pStyle w:val="ESSPTableCaption"/>
              <w:keepNext w:val="0"/>
              <w:tabs>
                <w:tab w:val="clear" w:pos="1440"/>
                <w:tab w:val="clear" w:pos="4140"/>
                <w:tab w:val="clear" w:pos="7920"/>
              </w:tabs>
              <w:spacing w:before="0" w:after="0"/>
              <w:rPr>
                <w:rFonts w:cs="Arial"/>
                <w:b w:val="0"/>
                <w:szCs w:val="22"/>
              </w:rPr>
            </w:pPr>
            <w:r>
              <w:rPr>
                <w:rFonts w:cs="Arial"/>
                <w:b w:val="0"/>
                <w:szCs w:val="22"/>
              </w:rPr>
              <w:t>10000</w:t>
            </w:r>
          </w:p>
        </w:tc>
        <w:tc>
          <w:tcPr>
            <w:tcW w:w="2880" w:type="dxa"/>
            <w:vAlign w:val="center"/>
          </w:tcPr>
          <w:p w14:paraId="1F511DDD" w14:textId="77777777" w:rsidR="00DB15E9" w:rsidRDefault="0078312E">
            <w:pPr>
              <w:pStyle w:val="ESSPTableCaption"/>
              <w:keepNext w:val="0"/>
              <w:tabs>
                <w:tab w:val="clear" w:pos="1440"/>
                <w:tab w:val="clear" w:pos="4140"/>
                <w:tab w:val="clear" w:pos="7920"/>
              </w:tabs>
              <w:spacing w:before="0" w:after="0"/>
              <w:rPr>
                <w:rFonts w:ascii="Calibri" w:hAnsi="Calibri"/>
                <w:color w:val="000000"/>
                <w:szCs w:val="22"/>
              </w:rPr>
            </w:pPr>
            <w:r>
              <w:rPr>
                <w:rFonts w:ascii="Calibri" w:hAnsi="Calibri"/>
                <w:color w:val="000000"/>
                <w:szCs w:val="22"/>
              </w:rPr>
              <w:t>112.1</w:t>
            </w:r>
          </w:p>
        </w:tc>
        <w:tc>
          <w:tcPr>
            <w:tcW w:w="3330" w:type="dxa"/>
            <w:vAlign w:val="center"/>
          </w:tcPr>
          <w:p w14:paraId="05F36973" w14:textId="77777777" w:rsidR="00DB15E9" w:rsidRDefault="0078312E">
            <w:pPr>
              <w:pStyle w:val="ESSPTableCaption"/>
              <w:keepNext w:val="0"/>
              <w:tabs>
                <w:tab w:val="clear" w:pos="1440"/>
                <w:tab w:val="clear" w:pos="4140"/>
                <w:tab w:val="clear" w:pos="7920"/>
              </w:tabs>
              <w:spacing w:before="0" w:after="0"/>
              <w:rPr>
                <w:rFonts w:ascii="Calibri" w:hAnsi="Calibri"/>
                <w:color w:val="000000"/>
                <w:szCs w:val="22"/>
              </w:rPr>
            </w:pPr>
            <w:r>
              <w:rPr>
                <w:rFonts w:ascii="Calibri" w:hAnsi="Calibri"/>
                <w:color w:val="000000"/>
                <w:szCs w:val="22"/>
              </w:rPr>
              <w:t>109.1</w:t>
            </w:r>
          </w:p>
        </w:tc>
      </w:tr>
    </w:tbl>
    <w:p w14:paraId="204ED98D" w14:textId="77777777" w:rsidR="00DB15E9" w:rsidRDefault="0078312E">
      <w:pPr>
        <w:pStyle w:val="ESSPBodyText"/>
      </w:pPr>
      <w:r>
        <w:t>Rationale: Acoustic design guidelines are an envelope of a number of the common launch vehicles.</w:t>
      </w:r>
      <w:r>
        <w:rPr>
          <w:rFonts w:ascii="Times New Roman" w:hAnsi="Times New Roman"/>
          <w:szCs w:val="24"/>
        </w:rPr>
        <w:t xml:space="preserve"> </w:t>
      </w:r>
      <w:r>
        <w:t>This acoustic environment should be used for preliminary design of components and subsystems if a specific launch vehicle has not been defined.</w:t>
      </w:r>
      <w:r>
        <w:rPr>
          <w:rFonts w:ascii="Times New Roman" w:hAnsi="Times New Roman"/>
          <w:szCs w:val="24"/>
        </w:rPr>
        <w:t xml:space="preserve"> </w:t>
      </w:r>
      <w:r>
        <w:t>While all hardware should be assessed for sensitivity to direct acoustic impingement, unless the component or subsystem has structure which is light-weight and has large surface area (typically a surface to weight ratio of &gt; 150 in</w:t>
      </w:r>
      <w:r>
        <w:rPr>
          <w:vertAlign w:val="superscript"/>
        </w:rPr>
        <w:t>2</w:t>
      </w:r>
      <w:r>
        <w:t>/lb), it is expected that the random environment specified in 3.12.4.6 will be the dominant high-frequency loading condition rather than the acoustic environment defined in Table 2-4.</w:t>
      </w:r>
      <w:r>
        <w:rPr>
          <w:rFonts w:ascii="Times New Roman" w:hAnsi="Times New Roman"/>
          <w:szCs w:val="24"/>
        </w:rPr>
        <w:t xml:space="preserve"> </w:t>
      </w:r>
    </w:p>
    <w:p w14:paraId="0BFCC128" w14:textId="77777777" w:rsidR="00DB15E9" w:rsidRDefault="0078312E">
      <w:pPr>
        <w:pStyle w:val="ESSPBodyText"/>
      </w:pPr>
      <w:r>
        <w:lastRenderedPageBreak/>
        <w:t>The acoustic noise design requirement for both the instrument and its assemblies is a reverberant random-incidence acoustic field specified in 1/3 octave bands.</w:t>
      </w:r>
      <w:r>
        <w:rPr>
          <w:rFonts w:ascii="Times New Roman" w:hAnsi="Times New Roman"/>
          <w:szCs w:val="24"/>
        </w:rPr>
        <w:t xml:space="preserve"> </w:t>
      </w:r>
      <w:r>
        <w:t>The design / qualification / protoflight exposure time is 2 minutes; acceptance exposure time is one minute.</w:t>
      </w:r>
    </w:p>
    <w:p w14:paraId="7A8AC138" w14:textId="77777777" w:rsidR="00DB15E9" w:rsidRDefault="0078312E">
      <w:pPr>
        <w:pStyle w:val="Heading4"/>
      </w:pPr>
      <w:bookmarkStart w:id="325" w:name="_Toc471910902"/>
      <w:r>
        <w:t>Mechanical Shock</w:t>
      </w:r>
      <w:bookmarkEnd w:id="325"/>
    </w:p>
    <w:p w14:paraId="38236932" w14:textId="77777777" w:rsidR="00DB15E9" w:rsidRDefault="0078312E">
      <w:pPr>
        <w:pStyle w:val="Requirement"/>
      </w:pPr>
      <w:r>
        <w:t>[GEO]</w:t>
      </w:r>
      <w:r>
        <w:rPr>
          <w:rFonts w:ascii="Times New Roman" w:hAnsi="Times New Roman"/>
          <w:szCs w:val="24"/>
        </w:rPr>
        <w:t xml:space="preserve"> </w:t>
      </w:r>
      <w:r>
        <w:t xml:space="preserve">The Instrument should function according to its operational specifications after being subjected to a spacecraft to launch vehicle separation or other shock transient accelerations represented by </w:t>
      </w:r>
      <w:r>
        <w:rPr>
          <w:rStyle w:val="ESSPBodyTextChar"/>
        </w:rPr>
        <w:t>Table 3-8</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DB15E9" w14:paraId="046EF113" w14:textId="77777777">
        <w:trPr>
          <w:cantSplit/>
        </w:trPr>
        <w:tc>
          <w:tcPr>
            <w:tcW w:w="8856" w:type="dxa"/>
            <w:gridSpan w:val="3"/>
            <w:tcBorders>
              <w:top w:val="nil"/>
              <w:left w:val="nil"/>
              <w:right w:val="nil"/>
            </w:tcBorders>
          </w:tcPr>
          <w:p w14:paraId="418773B6" w14:textId="77777777" w:rsidR="00DB15E9" w:rsidRDefault="0078312E">
            <w:pPr>
              <w:pStyle w:val="ESSPTableCaption"/>
            </w:pPr>
            <w:bookmarkStart w:id="326" w:name="_Toc471971568"/>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8</w:t>
            </w:r>
            <w:r w:rsidR="00BA5284">
              <w:rPr>
                <w:noProof/>
              </w:rPr>
              <w:fldChar w:fldCharType="end"/>
            </w:r>
            <w:r>
              <w:t>: Shock Response Spectrum (Q=10)</w:t>
            </w:r>
            <w:bookmarkEnd w:id="326"/>
          </w:p>
        </w:tc>
      </w:tr>
      <w:tr w:rsidR="00DB15E9" w14:paraId="2DBD029C" w14:textId="77777777">
        <w:tc>
          <w:tcPr>
            <w:tcW w:w="2952" w:type="dxa"/>
            <w:shd w:val="clear" w:color="auto" w:fill="000000" w:themeFill="text1"/>
          </w:tcPr>
          <w:p w14:paraId="2F232538" w14:textId="77777777" w:rsidR="00DB15E9" w:rsidRDefault="0078312E">
            <w:pPr>
              <w:pStyle w:val="ESSPTableText"/>
            </w:pPr>
            <w:r>
              <w:t>Frequency (Hz)</w:t>
            </w:r>
          </w:p>
        </w:tc>
        <w:tc>
          <w:tcPr>
            <w:tcW w:w="2952" w:type="dxa"/>
            <w:shd w:val="clear" w:color="auto" w:fill="000000" w:themeFill="text1"/>
          </w:tcPr>
          <w:p w14:paraId="72579B79" w14:textId="77777777" w:rsidR="00DB15E9" w:rsidRDefault="0078312E">
            <w:pPr>
              <w:pStyle w:val="ESSPTableText"/>
            </w:pPr>
            <w:r>
              <w:t>Acceptance Level (g)</w:t>
            </w:r>
          </w:p>
        </w:tc>
        <w:tc>
          <w:tcPr>
            <w:tcW w:w="2952" w:type="dxa"/>
            <w:shd w:val="clear" w:color="auto" w:fill="000000" w:themeFill="text1"/>
          </w:tcPr>
          <w:p w14:paraId="25F471C3" w14:textId="77777777" w:rsidR="00DB15E9" w:rsidRDefault="0078312E">
            <w:pPr>
              <w:pStyle w:val="ESSPTableText"/>
            </w:pPr>
            <w:r>
              <w:t>Protoflight/Qualification (g)</w:t>
            </w:r>
          </w:p>
        </w:tc>
      </w:tr>
      <w:tr w:rsidR="00DB15E9" w14:paraId="2073C296" w14:textId="77777777">
        <w:tc>
          <w:tcPr>
            <w:tcW w:w="2952" w:type="dxa"/>
          </w:tcPr>
          <w:p w14:paraId="4719DA10" w14:textId="77777777" w:rsidR="00DB15E9" w:rsidRDefault="0078312E">
            <w:pPr>
              <w:pStyle w:val="ESSPTableText"/>
            </w:pPr>
            <w:r>
              <w:t>100</w:t>
            </w:r>
          </w:p>
        </w:tc>
        <w:tc>
          <w:tcPr>
            <w:tcW w:w="2952" w:type="dxa"/>
          </w:tcPr>
          <w:p w14:paraId="45CF64EA" w14:textId="77777777" w:rsidR="00DB15E9" w:rsidRDefault="0078312E">
            <w:pPr>
              <w:pStyle w:val="ESSPTableText"/>
            </w:pPr>
            <w:r>
              <w:t>160</w:t>
            </w:r>
          </w:p>
        </w:tc>
        <w:tc>
          <w:tcPr>
            <w:tcW w:w="2952" w:type="dxa"/>
          </w:tcPr>
          <w:p w14:paraId="405F3B53" w14:textId="77777777" w:rsidR="00DB15E9" w:rsidRDefault="0078312E">
            <w:pPr>
              <w:pStyle w:val="ESSPTableText"/>
            </w:pPr>
            <w:r>
              <w:t>224</w:t>
            </w:r>
          </w:p>
        </w:tc>
      </w:tr>
      <w:tr w:rsidR="00DB15E9" w14:paraId="6D68374B" w14:textId="77777777">
        <w:tc>
          <w:tcPr>
            <w:tcW w:w="2952" w:type="dxa"/>
          </w:tcPr>
          <w:p w14:paraId="13FCA965" w14:textId="77777777" w:rsidR="00DB15E9" w:rsidRDefault="0078312E">
            <w:pPr>
              <w:pStyle w:val="ESSPTableText"/>
            </w:pPr>
            <w:r>
              <w:t>630</w:t>
            </w:r>
          </w:p>
        </w:tc>
        <w:tc>
          <w:tcPr>
            <w:tcW w:w="2952" w:type="dxa"/>
          </w:tcPr>
          <w:p w14:paraId="5EFB444F" w14:textId="77777777" w:rsidR="00DB15E9" w:rsidRDefault="0078312E">
            <w:pPr>
              <w:pStyle w:val="ESSPTableText"/>
            </w:pPr>
            <w:r>
              <w:t>1000</w:t>
            </w:r>
          </w:p>
        </w:tc>
        <w:tc>
          <w:tcPr>
            <w:tcW w:w="2952" w:type="dxa"/>
          </w:tcPr>
          <w:p w14:paraId="68786283" w14:textId="77777777" w:rsidR="00DB15E9" w:rsidRDefault="0078312E">
            <w:pPr>
              <w:pStyle w:val="ESSPTableText"/>
            </w:pPr>
            <w:r>
              <w:t>1400</w:t>
            </w:r>
          </w:p>
        </w:tc>
      </w:tr>
      <w:tr w:rsidR="00DB15E9" w14:paraId="18362639" w14:textId="77777777">
        <w:tc>
          <w:tcPr>
            <w:tcW w:w="2952" w:type="dxa"/>
          </w:tcPr>
          <w:p w14:paraId="521E342D" w14:textId="77777777" w:rsidR="00DB15E9" w:rsidRDefault="0078312E">
            <w:pPr>
              <w:pStyle w:val="ESSPTableText"/>
            </w:pPr>
            <w:r>
              <w:t>10000</w:t>
            </w:r>
          </w:p>
        </w:tc>
        <w:tc>
          <w:tcPr>
            <w:tcW w:w="2952" w:type="dxa"/>
          </w:tcPr>
          <w:p w14:paraId="6BC48CF8" w14:textId="77777777" w:rsidR="00DB15E9" w:rsidRDefault="0078312E">
            <w:pPr>
              <w:pStyle w:val="ESSPTableText"/>
            </w:pPr>
            <w:r>
              <w:t>1000</w:t>
            </w:r>
          </w:p>
        </w:tc>
        <w:tc>
          <w:tcPr>
            <w:tcW w:w="2952" w:type="dxa"/>
          </w:tcPr>
          <w:p w14:paraId="6E60F223" w14:textId="77777777" w:rsidR="00DB15E9" w:rsidRDefault="0078312E">
            <w:pPr>
              <w:pStyle w:val="ESSPTableText"/>
            </w:pPr>
            <w:r>
              <w:t>1400</w:t>
            </w:r>
          </w:p>
        </w:tc>
      </w:tr>
      <w:tr w:rsidR="00DB15E9" w14:paraId="5E960A49" w14:textId="77777777">
        <w:tc>
          <w:tcPr>
            <w:tcW w:w="2952" w:type="dxa"/>
          </w:tcPr>
          <w:p w14:paraId="706515C5" w14:textId="77777777" w:rsidR="00DB15E9" w:rsidRDefault="00DB15E9">
            <w:pPr>
              <w:pStyle w:val="ESSPTableText"/>
            </w:pPr>
          </w:p>
        </w:tc>
        <w:tc>
          <w:tcPr>
            <w:tcW w:w="2952" w:type="dxa"/>
          </w:tcPr>
          <w:p w14:paraId="71012831" w14:textId="77777777" w:rsidR="00DB15E9" w:rsidRDefault="0078312E">
            <w:pPr>
              <w:pStyle w:val="ESSPTableText"/>
            </w:pPr>
            <w:r>
              <w:t>The shock levels given assume that a component is located at least 60 cm (2 ft) from a shock source</w:t>
            </w:r>
          </w:p>
        </w:tc>
        <w:tc>
          <w:tcPr>
            <w:tcW w:w="2952" w:type="dxa"/>
          </w:tcPr>
          <w:p w14:paraId="546FC2EE" w14:textId="77777777" w:rsidR="00DB15E9" w:rsidRDefault="0078312E">
            <w:pPr>
              <w:pStyle w:val="ESSPTableText"/>
            </w:pPr>
            <w:r>
              <w:t>The shock levels given assume that a component is located at least 60 cm (2 ft) from a shock source</w:t>
            </w:r>
          </w:p>
        </w:tc>
      </w:tr>
    </w:tbl>
    <w:p w14:paraId="3D158CF4"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This guidance represents the need to be compatible with the mechanical shock that will be experienced during ground processing, launch ascent and on orbit.</w:t>
      </w:r>
      <w:r>
        <w:rPr>
          <w:rFonts w:ascii="Times New Roman" w:hAnsi="Times New Roman"/>
          <w:szCs w:val="24"/>
        </w:rPr>
        <w:t xml:space="preserve"> </w:t>
      </w:r>
      <w:bookmarkStart w:id="327" w:name="OLE_LINK11"/>
      <w:r>
        <w:t>Table 3-8 provides a generic shock environment that may be used for hardware design until the mission specific shock environments can be defined. Based on broad survey of industry hosted payload accommodations, designing for higher shock levels (up to 5000 g for 1600 Hz and 10000 Hz) would maximize opportunity for finding a host. After pairing, the levels shown in Table 3-8 should be updated once all payload shock sources have been defined.</w:t>
      </w:r>
      <w:r>
        <w:rPr>
          <w:rFonts w:ascii="Times New Roman" w:hAnsi="Times New Roman"/>
          <w:szCs w:val="24"/>
        </w:rPr>
        <w:t xml:space="preserve"> </w:t>
      </w:r>
      <w:bookmarkEnd w:id="327"/>
    </w:p>
    <w:p w14:paraId="7ECD3ED5" w14:textId="77777777" w:rsidR="00DB15E9" w:rsidRDefault="0078312E">
      <w:pPr>
        <w:pStyle w:val="Heading3"/>
      </w:pPr>
      <w:bookmarkStart w:id="328" w:name="_Toc471910903"/>
      <w:r>
        <w:t>Operational Environment</w:t>
      </w:r>
      <w:bookmarkEnd w:id="328"/>
    </w:p>
    <w:p w14:paraId="22F07B8C" w14:textId="77777777" w:rsidR="00DB15E9" w:rsidRDefault="0078312E">
      <w:pPr>
        <w:pStyle w:val="ESSPBodyText"/>
      </w:pPr>
      <w:r>
        <w:t>The Operational Environment represents that time in the Instrument’s lifecycle following the completion of the launch vehicle’s final injection burn, when the Instrument is exposed to space and established in its operational orbit (</w:t>
      </w:r>
      <w:r>
        <w:rPr>
          <w:rStyle w:val="ESSPBodyTextChar"/>
        </w:rPr>
        <w:t>Figure 3-6</w:t>
      </w:r>
      <w:r>
        <w:t>).</w:t>
      </w:r>
    </w:p>
    <w:p w14:paraId="7EC08199" w14:textId="77777777" w:rsidR="00DB15E9" w:rsidRDefault="0078312E">
      <w:pPr>
        <w:pStyle w:val="ESSPFigure"/>
        <w:rPr>
          <w:rFonts w:ascii="Helvetica" w:hAnsi="Helvetica"/>
          <w:noProof w:val="0"/>
        </w:rPr>
      </w:pPr>
      <w:r>
        <w:rPr>
          <w:rFonts w:ascii="Helvetica" w:hAnsi="Helvetica"/>
        </w:rPr>
        <w:lastRenderedPageBreak/>
        <w:drawing>
          <wp:inline distT="0" distB="0" distL="0" distR="0" wp14:anchorId="71A0D321" wp14:editId="41D086AF">
            <wp:extent cx="4947977" cy="5244998"/>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I Operational Environment.pdf"/>
                    <pic:cNvPicPr/>
                  </pic:nvPicPr>
                  <pic:blipFill rotWithShape="1">
                    <a:blip r:embed="rId18">
                      <a:extLst>
                        <a:ext uri="{28A0092B-C50C-407E-A947-70E740481C1C}">
                          <a14:useLocalDpi xmlns:a14="http://schemas.microsoft.com/office/drawing/2010/main" val="0"/>
                        </a:ext>
                      </a:extLst>
                    </a:blip>
                    <a:srcRect l="3197" r="6693" b="8189"/>
                    <a:stretch/>
                  </pic:blipFill>
                  <pic:spPr bwMode="auto">
                    <a:xfrm>
                      <a:off x="0" y="0"/>
                      <a:ext cx="4964533" cy="5262548"/>
                    </a:xfrm>
                    <a:prstGeom prst="rect">
                      <a:avLst/>
                    </a:prstGeom>
                    <a:ln>
                      <a:noFill/>
                    </a:ln>
                    <a:extLst>
                      <a:ext uri="{53640926-AAD7-44D8-BBD7-CCE9431645EC}">
                        <a14:shadowObscured xmlns:a14="http://schemas.microsoft.com/office/drawing/2010/main"/>
                      </a:ext>
                    </a:extLst>
                  </pic:spPr>
                </pic:pic>
              </a:graphicData>
            </a:graphic>
          </wp:inline>
        </w:drawing>
      </w:r>
    </w:p>
    <w:p w14:paraId="3A38BF52" w14:textId="77777777" w:rsidR="00DB15E9" w:rsidRDefault="0078312E">
      <w:pPr>
        <w:pStyle w:val="ESSPFigureCaption"/>
        <w:rPr>
          <w:rFonts w:ascii="Helvetica" w:hAnsi="Helvetica"/>
        </w:rPr>
      </w:pPr>
      <w:bookmarkStart w:id="329" w:name="_Toc471971597"/>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6</w:t>
      </w:r>
      <w:r>
        <w:rPr>
          <w:rFonts w:ascii="Helvetica" w:hAnsi="Helvetica"/>
        </w:rPr>
        <w:fldChar w:fldCharType="end"/>
      </w:r>
      <w:r>
        <w:rPr>
          <w:rFonts w:ascii="Helvetica" w:hAnsi="Helvetica"/>
        </w:rPr>
        <w:t>: Operational Environment</w:t>
      </w:r>
      <w:bookmarkEnd w:id="329"/>
    </w:p>
    <w:p w14:paraId="2E1086A1" w14:textId="77777777" w:rsidR="00DB15E9" w:rsidRDefault="0078312E">
      <w:pPr>
        <w:pStyle w:val="ESSPBodyText"/>
      </w:pPr>
      <w:r>
        <w:t>The GEO guidelines are based upon a zero degree inclination, 35786 km altitude circular orbit.</w:t>
      </w:r>
    </w:p>
    <w:p w14:paraId="4B09A029" w14:textId="77777777" w:rsidR="00DB15E9" w:rsidRDefault="0078312E">
      <w:pPr>
        <w:pStyle w:val="Heading4"/>
      </w:pPr>
      <w:bookmarkStart w:id="330" w:name="_Toc471910904"/>
      <w:r>
        <w:t>Orbital Acceleration</w:t>
      </w:r>
      <w:bookmarkEnd w:id="330"/>
    </w:p>
    <w:p w14:paraId="4B521E49" w14:textId="77777777" w:rsidR="00DB15E9" w:rsidRDefault="0078312E">
      <w:pPr>
        <w:pStyle w:val="Requirement"/>
      </w:pPr>
      <w:r>
        <w:t>The Instrument should function according to its operational specifications after being subjected to a maximum spacecraft-induced acceleration of 0.15g.</w:t>
      </w:r>
    </w:p>
    <w:p w14:paraId="2860A4BF" w14:textId="77777777" w:rsidR="00DB15E9" w:rsidRDefault="0078312E">
      <w:pPr>
        <w:pStyle w:val="ESSPFigure"/>
        <w:keepNext w:val="0"/>
        <w:spacing w:after="240"/>
        <w:jc w:val="left"/>
        <w:rPr>
          <w:rFonts w:ascii="Times New Roman" w:hAnsi="Times New Roman"/>
          <w:noProof w:val="0"/>
          <w:szCs w:val="24"/>
        </w:rPr>
      </w:pPr>
      <w:r>
        <w:rPr>
          <w:rFonts w:ascii="Times New Roman" w:hAnsi="Times New Roman"/>
          <w:noProof w:val="0"/>
          <w:szCs w:val="24"/>
        </w:rPr>
        <w:t>Rationale: The Instrument in its operational configuration must be able to withstand conditions typical of the on-orbit environment without suffering degraded performance or being damaged or inducing degraded performance of or damage to the Host Spacecraft or other payloads. This guidance represents the need to be compatible with the accelerations that will be experienced on orbit. The guideline is the all-satisfy strategy scenario, based upon CII analysis of the following sources of performance data: CII RFI for GEO Hosted Payload Opportunities responses, the GEVS-SE, and GOES-R GIRD.</w:t>
      </w:r>
    </w:p>
    <w:p w14:paraId="1E9CFF24" w14:textId="77777777" w:rsidR="00DB15E9" w:rsidRDefault="0078312E">
      <w:pPr>
        <w:pStyle w:val="ESSPBodyText"/>
      </w:pPr>
      <w:r>
        <w:lastRenderedPageBreak/>
        <w:t>The GEO guidelines are based upon a zero degree inclination, 35786 km altitude circular orbit.</w:t>
      </w:r>
    </w:p>
    <w:p w14:paraId="07F4D40F" w14:textId="77777777" w:rsidR="00DB15E9" w:rsidRDefault="0078312E">
      <w:pPr>
        <w:pStyle w:val="Heading4"/>
      </w:pPr>
      <w:bookmarkStart w:id="331" w:name="_Toc471910905"/>
      <w:r>
        <w:t>Corona</w:t>
      </w:r>
      <w:bookmarkEnd w:id="331"/>
    </w:p>
    <w:p w14:paraId="5677FDF8" w14:textId="77777777" w:rsidR="00DB15E9" w:rsidRDefault="0078312E">
      <w:pPr>
        <w:pStyle w:val="Requirement"/>
      </w:pPr>
      <w:r>
        <w:t>The Instrument should exhibit no effect of corona or other forms of electrical breakdown after being subjected to a range of ambient pressures from 101 kPa (~760 Torr) at sea level to 1.3×10</w:t>
      </w:r>
      <w:r>
        <w:rPr>
          <w:vertAlign w:val="superscript"/>
        </w:rPr>
        <w:t>-15</w:t>
      </w:r>
      <w:r>
        <w:t xml:space="preserve"> kPa (10</w:t>
      </w:r>
      <w:r>
        <w:rPr>
          <w:vertAlign w:val="superscript"/>
        </w:rPr>
        <w:t>-14</w:t>
      </w:r>
      <w:r>
        <w:t xml:space="preserve"> Torr) in space.</w:t>
      </w:r>
    </w:p>
    <w:p w14:paraId="5456E79D" w14:textId="77777777" w:rsidR="00DB15E9" w:rsidRDefault="0078312E">
      <w:pPr>
        <w:pStyle w:val="ESSPBodyText"/>
      </w:pPr>
      <w:r>
        <w:t>Rationale: The Instrument must be able to withstand conditions typical of the AI&amp;T, launch and on-orbit environment without suffering degraded performance, damage, or inducing degraded performance of or damage to the Host Spacecraft or other payloads.</w:t>
      </w:r>
      <w:r>
        <w:rPr>
          <w:rFonts w:ascii="Times New Roman" w:hAnsi="Times New Roman"/>
          <w:szCs w:val="24"/>
        </w:rPr>
        <w:t xml:space="preserve"> </w:t>
      </w:r>
      <w:r>
        <w:t>This guidance represents the need to be compatible with the environment that will be experienced during ground processing, launch ascent and on orbit.</w:t>
      </w:r>
      <w:r>
        <w:rPr>
          <w:rFonts w:ascii="Times New Roman" w:hAnsi="Times New Roman"/>
          <w:szCs w:val="24"/>
        </w:rPr>
        <w:t xml:space="preserve"> </w:t>
      </w:r>
      <w:r>
        <w:t xml:space="preserve">The guideline is the all-satisfy strategy scenario, based upon CII analysis of the following sources of performance data: </w:t>
      </w:r>
      <w:r>
        <w:rPr>
          <w:i/>
        </w:rPr>
        <w:t>CII RFI for GEO Hosted Payload Opportunities</w:t>
      </w:r>
      <w:r>
        <w:t xml:space="preserve"> responses, the </w:t>
      </w:r>
      <w:r>
        <w:rPr>
          <w:i/>
        </w:rPr>
        <w:t xml:space="preserve">GEVS-SE, </w:t>
      </w:r>
      <w:r>
        <w:t xml:space="preserve">and </w:t>
      </w:r>
      <w:r>
        <w:rPr>
          <w:i/>
        </w:rPr>
        <w:t>GOES-R GIRD</w:t>
      </w:r>
      <w:r>
        <w:t>.</w:t>
      </w:r>
    </w:p>
    <w:p w14:paraId="250047AE" w14:textId="77777777" w:rsidR="00DB15E9" w:rsidRDefault="0078312E">
      <w:pPr>
        <w:pStyle w:val="Heading4"/>
      </w:pPr>
      <w:bookmarkStart w:id="332" w:name="_Toc471910906"/>
      <w:r>
        <w:t>Thermal Environment</w:t>
      </w:r>
      <w:bookmarkEnd w:id="332"/>
    </w:p>
    <w:p w14:paraId="16CAA94B" w14:textId="77777777" w:rsidR="00DB15E9" w:rsidRDefault="0078312E">
      <w:pPr>
        <w:pStyle w:val="Requirement"/>
      </w:pPr>
      <w:r>
        <w:t xml:space="preserve">The Instrument should function according to its operational specifications after being subjected to a thermal environment characterized by </w:t>
      </w:r>
      <w:r>
        <w:rPr>
          <w:rStyle w:val="ESSPBodyTextChar"/>
        </w:rPr>
        <w:t>Table 3-9</w:t>
      </w:r>
      <w:r>
        <w:t>.</w:t>
      </w:r>
    </w:p>
    <w:p w14:paraId="77CD55DE" w14:textId="77777777" w:rsidR="00DB15E9" w:rsidRDefault="0078312E">
      <w:pPr>
        <w:pStyle w:val="ESSPTableCaption"/>
      </w:pPr>
      <w:bookmarkStart w:id="333" w:name="_Toc471971569"/>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w:instrText>
      </w:r>
      <w:r w:rsidR="00BA5284">
        <w:instrText xml:space="preserve">ABIC \s 1 </w:instrText>
      </w:r>
      <w:r w:rsidR="00BA5284">
        <w:fldChar w:fldCharType="separate"/>
      </w:r>
      <w:r>
        <w:rPr>
          <w:noProof/>
        </w:rPr>
        <w:t>9</w:t>
      </w:r>
      <w:r w:rsidR="00BA5284">
        <w:rPr>
          <w:noProof/>
        </w:rPr>
        <w:fldChar w:fldCharType="end"/>
      </w:r>
      <w:r>
        <w:t>: Thermal Radiation Environment</w:t>
      </w:r>
      <w:bookmarkEnd w:id="333"/>
    </w:p>
    <w:tbl>
      <w:tblPr>
        <w:tblStyle w:val="TableGrid8"/>
        <w:tblW w:w="9576" w:type="dxa"/>
        <w:tblLook w:val="04A0" w:firstRow="1" w:lastRow="0" w:firstColumn="1" w:lastColumn="0" w:noHBand="0" w:noVBand="1"/>
      </w:tblPr>
      <w:tblGrid>
        <w:gridCol w:w="1638"/>
        <w:gridCol w:w="2430"/>
        <w:gridCol w:w="3114"/>
        <w:gridCol w:w="2394"/>
      </w:tblGrid>
      <w:tr w:rsidR="00DB15E9" w14:paraId="5EF872E7" w14:textId="77777777" w:rsidTr="00DB15E9">
        <w:trPr>
          <w:cnfStyle w:val="100000000000" w:firstRow="1" w:lastRow="0" w:firstColumn="0" w:lastColumn="0" w:oddVBand="0" w:evenVBand="0" w:oddHBand="0" w:evenHBand="0" w:firstRowFirstColumn="0" w:firstRowLastColumn="0" w:lastRowFirstColumn="0" w:lastRowLastColumn="0"/>
          <w:trHeight w:val="60"/>
        </w:trPr>
        <w:tc>
          <w:tcPr>
            <w:tcW w:w="1638" w:type="dxa"/>
          </w:tcPr>
          <w:p w14:paraId="1B642B9F" w14:textId="77777777" w:rsidR="00DB15E9" w:rsidRDefault="0078312E">
            <w:pPr>
              <w:pStyle w:val="ESSPTableText"/>
            </w:pPr>
            <w:r>
              <w:t>Domain</w:t>
            </w:r>
          </w:p>
        </w:tc>
        <w:tc>
          <w:tcPr>
            <w:tcW w:w="2430" w:type="dxa"/>
          </w:tcPr>
          <w:p w14:paraId="6CEA43E8" w14:textId="77777777" w:rsidR="00DB15E9" w:rsidRDefault="0078312E">
            <w:pPr>
              <w:pStyle w:val="ESSPTableText"/>
            </w:pPr>
            <w:r>
              <w:t>Solar Flux [W/m</w:t>
            </w:r>
            <w:r>
              <w:rPr>
                <w:vertAlign w:val="superscript"/>
              </w:rPr>
              <w:t>2</w:t>
            </w:r>
            <w:r>
              <w:t>]</w:t>
            </w:r>
          </w:p>
        </w:tc>
        <w:tc>
          <w:tcPr>
            <w:tcW w:w="3114" w:type="dxa"/>
          </w:tcPr>
          <w:p w14:paraId="723C109E" w14:textId="77777777" w:rsidR="00DB15E9" w:rsidRDefault="0078312E">
            <w:pPr>
              <w:pStyle w:val="ESSPTableText"/>
            </w:pPr>
            <w:r>
              <w:t xml:space="preserve">Earth IR </w:t>
            </w:r>
            <w:r>
              <w:rPr>
                <w:sz w:val="18"/>
              </w:rPr>
              <w:t xml:space="preserve">(Long Wave) </w:t>
            </w:r>
            <w:r>
              <w:t>[W/m</w:t>
            </w:r>
            <w:r>
              <w:rPr>
                <w:vertAlign w:val="superscript"/>
              </w:rPr>
              <w:t>2</w:t>
            </w:r>
            <w:r>
              <w:t>]</w:t>
            </w:r>
          </w:p>
        </w:tc>
        <w:tc>
          <w:tcPr>
            <w:tcW w:w="2394" w:type="dxa"/>
          </w:tcPr>
          <w:p w14:paraId="055668A0" w14:textId="77777777" w:rsidR="00DB15E9" w:rsidRDefault="0078312E">
            <w:pPr>
              <w:pStyle w:val="ESSPTableText"/>
            </w:pPr>
            <w:r>
              <w:t>Earth Albedo</w:t>
            </w:r>
          </w:p>
        </w:tc>
      </w:tr>
      <w:tr w:rsidR="00DB15E9" w14:paraId="084EEDD6" w14:textId="77777777" w:rsidTr="00DB15E9">
        <w:trPr>
          <w:trHeight w:val="70"/>
        </w:trPr>
        <w:tc>
          <w:tcPr>
            <w:tcW w:w="1638" w:type="dxa"/>
          </w:tcPr>
          <w:p w14:paraId="7C5CEB45" w14:textId="77777777" w:rsidR="00DB15E9" w:rsidRDefault="0078312E">
            <w:pPr>
              <w:pStyle w:val="ESSPTableText"/>
            </w:pPr>
            <w:r>
              <w:t>GEO</w:t>
            </w:r>
          </w:p>
        </w:tc>
        <w:tc>
          <w:tcPr>
            <w:tcW w:w="2430" w:type="dxa"/>
            <w:vAlign w:val="center"/>
          </w:tcPr>
          <w:p w14:paraId="13BAB0BA" w14:textId="77777777" w:rsidR="00DB15E9" w:rsidRDefault="0078312E">
            <w:pPr>
              <w:pStyle w:val="ESSPTableText"/>
            </w:pPr>
            <w:r>
              <w:t>1290 to 1420</w:t>
            </w:r>
          </w:p>
        </w:tc>
        <w:tc>
          <w:tcPr>
            <w:tcW w:w="3114" w:type="dxa"/>
          </w:tcPr>
          <w:p w14:paraId="7C1A9061" w14:textId="77777777" w:rsidR="00DB15E9" w:rsidRDefault="0078312E">
            <w:pPr>
              <w:pStyle w:val="ESSPTableText"/>
            </w:pPr>
            <w:r>
              <w:t>5.5</w:t>
            </w:r>
          </w:p>
        </w:tc>
        <w:tc>
          <w:tcPr>
            <w:tcW w:w="2394" w:type="dxa"/>
          </w:tcPr>
          <w:p w14:paraId="2221DE03" w14:textId="77777777" w:rsidR="00DB15E9" w:rsidRDefault="0078312E">
            <w:pPr>
              <w:pStyle w:val="ESSPTableText"/>
            </w:pPr>
            <w:r>
              <w:t>2.5-7.2W/sq.m</w:t>
            </w:r>
          </w:p>
        </w:tc>
      </w:tr>
    </w:tbl>
    <w:p w14:paraId="5706EEED" w14:textId="77777777" w:rsidR="00DB15E9" w:rsidRDefault="0078312E">
      <w:pPr>
        <w:pStyle w:val="ESSPBodyText"/>
      </w:pPr>
      <w:r>
        <w:t>Rationale: The Instrument must be able to withstand conditions typical of the on-orbit environment without suffering degraded performance, damage, or inducing degraded performance of or damage to the Host Spacecraft or other payloads.</w:t>
      </w:r>
      <w:r>
        <w:rPr>
          <w:rFonts w:ascii="Times New Roman" w:hAnsi="Times New Roman"/>
          <w:szCs w:val="24"/>
        </w:rPr>
        <w:t xml:space="preserve"> </w:t>
      </w:r>
      <w:r>
        <w:t>While the Earth albedo and long wave infrared radiation are non-zero values at GEO, their contribution to the overall thermal environment is less than 0.05% of that from solar flux.</w:t>
      </w:r>
      <w:r>
        <w:rPr>
          <w:rFonts w:ascii="Times New Roman" w:hAnsi="Times New Roman"/>
          <w:szCs w:val="24"/>
        </w:rPr>
        <w:t xml:space="preserve"> </w:t>
      </w:r>
      <w:r>
        <w:t>The Host Spacecraft Manufacturer will document the expected Free Molecular Heating rate seen by the exposed surface of the payload during the launch ascent in the TICD.</w:t>
      </w:r>
      <w:r>
        <w:rPr>
          <w:rFonts w:ascii="Times New Roman" w:hAnsi="Times New Roman"/>
          <w:szCs w:val="24"/>
        </w:rPr>
        <w:t xml:space="preserve"> </w:t>
      </w:r>
      <w:r>
        <w:rPr>
          <w:color w:val="000000"/>
        </w:rPr>
        <w:t>This guidance defines the solar flux over the entire spectrum. In the UV portion of the spectrum (λ ≤ 300 nm), the solar flux is approximately 118 W/m</w:t>
      </w:r>
      <w:r>
        <w:rPr>
          <w:color w:val="000000"/>
          <w:vertAlign w:val="superscript"/>
        </w:rPr>
        <w:t>2</w:t>
      </w:r>
      <w:r>
        <w:rPr>
          <w:color w:val="000000"/>
        </w:rPr>
        <w:t xml:space="preserve"> and the integrated photon flux is approximately 2.28 </w:t>
      </w:r>
      <w:r>
        <w:rPr>
          <w:color w:val="000000"/>
        </w:rPr>
        <w:sym w:font="Symbol" w:char="F0B4"/>
      </w:r>
      <w:r>
        <w:rPr>
          <w:color w:val="000000"/>
        </w:rPr>
        <w:t xml:space="preserve"> 10</w:t>
      </w:r>
      <w:r>
        <w:rPr>
          <w:color w:val="000000"/>
          <w:vertAlign w:val="superscript"/>
        </w:rPr>
        <w:t>15</w:t>
      </w:r>
      <w:r>
        <w:rPr>
          <w:color w:val="000000"/>
        </w:rPr>
        <w:t xml:space="preserve"> photons/cm/sec. Reference NASA TM4527 for additional detail regarding the UV spectrum and associated photon flux.</w:t>
      </w:r>
    </w:p>
    <w:p w14:paraId="4008DF2D" w14:textId="77777777" w:rsidR="00DB15E9" w:rsidRDefault="0078312E">
      <w:pPr>
        <w:pStyle w:val="Heading3"/>
      </w:pPr>
      <w:bookmarkStart w:id="334" w:name="_Toc471910907"/>
      <w:r>
        <w:t>Radiation Design Margin</w:t>
      </w:r>
      <w:bookmarkEnd w:id="334"/>
    </w:p>
    <w:p w14:paraId="2F669C76" w14:textId="77777777" w:rsidR="00DB15E9" w:rsidRDefault="0078312E">
      <w:pPr>
        <w:pStyle w:val="Requirement"/>
      </w:pPr>
      <w:r>
        <w:t>Every hardware component of the Instrument should have a minimum RDM value of two.</w:t>
      </w:r>
    </w:p>
    <w:p w14:paraId="0E8D2FEA" w14:textId="77777777" w:rsidR="00DB15E9" w:rsidRDefault="0078312E">
      <w:pPr>
        <w:pStyle w:val="ESSPBodyText"/>
      </w:pPr>
      <w:r>
        <w:t>Rationale: Exposure to radiation degrades many materials and will require mitigation to assure full instrument function over the design mission lifetime. This guidance defines the need to carry 100% margin against the estimated amount of radiation exposure that will be experienced in Earth orbit in support of said mitigation.</w:t>
      </w:r>
    </w:p>
    <w:p w14:paraId="5973DDB4" w14:textId="77777777" w:rsidR="00DB15E9" w:rsidRDefault="0078312E">
      <w:pPr>
        <w:pStyle w:val="ESSPBodyText"/>
      </w:pPr>
      <w:r>
        <w:t>A Radiation Design Margin (RDM) for a given electronic part (with respect to a given radiation environment) is defined as the ratio of that part’s capability (with respect to that environment and its circuit application) to the environment level at the part’s location.</w:t>
      </w:r>
      <w:r>
        <w:rPr>
          <w:color w:val="000000"/>
        </w:rPr>
        <w:t xml:space="preserve"> </w:t>
      </w:r>
    </w:p>
    <w:p w14:paraId="4D0D16FC" w14:textId="77777777" w:rsidR="00DB15E9" w:rsidRDefault="0078312E">
      <w:pPr>
        <w:pStyle w:val="Heading4"/>
      </w:pPr>
      <w:bookmarkStart w:id="335" w:name="_Toc471910908"/>
      <w:r>
        <w:lastRenderedPageBreak/>
        <w:t>Total Ionizing Dose</w:t>
      </w:r>
      <w:bookmarkEnd w:id="335"/>
    </w:p>
    <w:p w14:paraId="0A379E29" w14:textId="77777777" w:rsidR="00DB15E9" w:rsidRDefault="0078312E">
      <w:pPr>
        <w:pStyle w:val="Requirement"/>
      </w:pPr>
      <w:r>
        <w:t>The Instrument should function according to its operational specifications during and after exposure to the Total Ionizing Dose (TID) radiation environment based upon the specified mission orbit over the specified mission lifetime.</w:t>
      </w:r>
    </w:p>
    <w:p w14:paraId="12BB51DB" w14:textId="77777777" w:rsidR="00DB15E9" w:rsidRDefault="0078312E">
      <w:pPr>
        <w:pStyle w:val="ESSPBodyText"/>
      </w:pPr>
      <w:r>
        <w:rPr>
          <w:rStyle w:val="ESSPBodyTextChar"/>
        </w:rPr>
        <w:t>Table 3-10</w:t>
      </w:r>
      <w:r>
        <w:t xml:space="preserve"> shows the expected total ionizing dose for an object in a 813 km, sun-synchronous orbit, for over the span of two years, while shielded by an aluminum spherical shell of a given thickness. </w:t>
      </w:r>
      <w:r>
        <w:rPr>
          <w:rStyle w:val="ESSPBodyTextChar"/>
        </w:rPr>
        <w:t>Figure 3-6</w:t>
      </w:r>
      <w:r>
        <w:t xml:space="preserve"> plots the same data in graphical form. The data contain no margin or uncertainty factors. </w:t>
      </w:r>
    </w:p>
    <w:p w14:paraId="373FF28F" w14:textId="77777777" w:rsidR="00DB15E9" w:rsidRDefault="0078312E">
      <w:pPr>
        <w:pStyle w:val="ESSPTableCaption"/>
      </w:pPr>
      <w:bookmarkStart w:id="336" w:name="_Toc297094124"/>
      <w:bookmarkStart w:id="337" w:name="_Toc326129310"/>
      <w:bookmarkStart w:id="338" w:name="_Toc471971570"/>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10</w:t>
      </w:r>
      <w:r w:rsidR="00BA5284">
        <w:rPr>
          <w:noProof/>
        </w:rPr>
        <w:fldChar w:fldCharType="end"/>
      </w:r>
      <w:r>
        <w:t>: [GEO] Total Ionizing Dose Radiation Environment</w:t>
      </w:r>
      <w:bookmarkEnd w:id="336"/>
      <w:bookmarkEnd w:id="337"/>
      <w:bookmarkEnd w:id="338"/>
    </w:p>
    <w:tbl>
      <w:tblPr>
        <w:tblStyle w:val="TableGrid8"/>
        <w:tblW w:w="0" w:type="auto"/>
        <w:jc w:val="center"/>
        <w:tblLayout w:type="fixed"/>
        <w:tblLook w:val="04A0" w:firstRow="1" w:lastRow="0" w:firstColumn="1" w:lastColumn="0" w:noHBand="0" w:noVBand="1"/>
      </w:tblPr>
      <w:tblGrid>
        <w:gridCol w:w="2118"/>
        <w:gridCol w:w="2750"/>
      </w:tblGrid>
      <w:tr w:rsidR="00DB15E9" w14:paraId="60052F32" w14:textId="77777777" w:rsidTr="00DB15E9">
        <w:trPr>
          <w:cnfStyle w:val="100000000000" w:firstRow="1" w:lastRow="0" w:firstColumn="0" w:lastColumn="0" w:oddVBand="0" w:evenVBand="0" w:oddHBand="0" w:evenHBand="0" w:firstRowFirstColumn="0" w:firstRowLastColumn="0" w:lastRowFirstColumn="0" w:lastRowLastColumn="0"/>
          <w:trHeight w:val="243"/>
          <w:jc w:val="center"/>
        </w:trPr>
        <w:tc>
          <w:tcPr>
            <w:tcW w:w="2118" w:type="dxa"/>
          </w:tcPr>
          <w:p w14:paraId="2B49340A" w14:textId="77777777" w:rsidR="00DB15E9" w:rsidRDefault="0078312E">
            <w:pPr>
              <w:pStyle w:val="ESSPTableCaption"/>
              <w:keepNext w:val="0"/>
              <w:tabs>
                <w:tab w:val="clear" w:pos="1440"/>
                <w:tab w:val="clear" w:pos="4140"/>
                <w:tab w:val="clear" w:pos="7920"/>
              </w:tabs>
              <w:spacing w:before="0" w:after="0"/>
              <w:rPr>
                <w:b/>
              </w:rPr>
            </w:pPr>
            <w:r>
              <w:rPr>
                <w:b/>
              </w:rPr>
              <w:t>Aluminum Shield Thickness [mil]</w:t>
            </w:r>
          </w:p>
        </w:tc>
        <w:tc>
          <w:tcPr>
            <w:tcW w:w="2750" w:type="dxa"/>
          </w:tcPr>
          <w:p w14:paraId="325E202D" w14:textId="77777777" w:rsidR="00DB15E9" w:rsidRDefault="0078312E">
            <w:pPr>
              <w:pStyle w:val="ESSPTableCaption"/>
              <w:keepNext w:val="0"/>
              <w:tabs>
                <w:tab w:val="clear" w:pos="1440"/>
                <w:tab w:val="clear" w:pos="4140"/>
                <w:tab w:val="clear" w:pos="7920"/>
                <w:tab w:val="left" w:pos="420"/>
              </w:tabs>
              <w:spacing w:before="0" w:after="0"/>
              <w:rPr>
                <w:b/>
              </w:rPr>
            </w:pPr>
            <w:r>
              <w:rPr>
                <w:b/>
              </w:rPr>
              <w:t>Total Dose [Rad]-Si</w:t>
            </w:r>
          </w:p>
        </w:tc>
      </w:tr>
      <w:tr w:rsidR="00DB15E9" w14:paraId="4DF73C35" w14:textId="77777777" w:rsidTr="00DB15E9">
        <w:trPr>
          <w:jc w:val="center"/>
        </w:trPr>
        <w:tc>
          <w:tcPr>
            <w:tcW w:w="2118" w:type="dxa"/>
          </w:tcPr>
          <w:p w14:paraId="41F06AA1" w14:textId="77777777" w:rsidR="00DB15E9" w:rsidRDefault="0078312E">
            <w:pPr>
              <w:pStyle w:val="ESSPTableCaption"/>
              <w:keepNext w:val="0"/>
              <w:tabs>
                <w:tab w:val="clear" w:pos="1440"/>
                <w:tab w:val="clear" w:pos="4140"/>
                <w:tab w:val="clear" w:pos="7920"/>
              </w:tabs>
              <w:spacing w:before="0" w:after="0"/>
              <w:rPr>
                <w:b w:val="0"/>
              </w:rPr>
            </w:pPr>
            <w:r>
              <w:rPr>
                <w:b w:val="0"/>
              </w:rPr>
              <w:t>0</w:t>
            </w:r>
          </w:p>
        </w:tc>
        <w:tc>
          <w:tcPr>
            <w:tcW w:w="2750" w:type="dxa"/>
          </w:tcPr>
          <w:p w14:paraId="3F3777AF" w14:textId="77777777" w:rsidR="00DB15E9" w:rsidRDefault="0078312E">
            <w:pPr>
              <w:pStyle w:val="ESSPTableCaption"/>
              <w:keepNext w:val="0"/>
              <w:tabs>
                <w:tab w:val="clear" w:pos="1440"/>
                <w:tab w:val="clear" w:pos="4140"/>
                <w:tab w:val="clear" w:pos="7920"/>
              </w:tabs>
              <w:spacing w:before="0" w:after="0"/>
              <w:rPr>
                <w:b w:val="0"/>
              </w:rPr>
            </w:pPr>
            <w:r>
              <w:rPr>
                <w:b w:val="0"/>
              </w:rPr>
              <w:t>2.09E+08</w:t>
            </w:r>
          </w:p>
        </w:tc>
      </w:tr>
      <w:tr w:rsidR="00DB15E9" w14:paraId="09327267" w14:textId="77777777" w:rsidTr="00DB15E9">
        <w:trPr>
          <w:jc w:val="center"/>
        </w:trPr>
        <w:tc>
          <w:tcPr>
            <w:tcW w:w="2118" w:type="dxa"/>
          </w:tcPr>
          <w:p w14:paraId="20CD899C" w14:textId="77777777" w:rsidR="00DB15E9" w:rsidRDefault="0078312E">
            <w:pPr>
              <w:pStyle w:val="ESSPTableCaption"/>
              <w:keepNext w:val="0"/>
              <w:tabs>
                <w:tab w:val="clear" w:pos="1440"/>
                <w:tab w:val="clear" w:pos="4140"/>
                <w:tab w:val="clear" w:pos="7920"/>
              </w:tabs>
              <w:spacing w:before="0" w:after="0"/>
              <w:rPr>
                <w:b w:val="0"/>
              </w:rPr>
            </w:pPr>
            <w:r>
              <w:rPr>
                <w:b w:val="0"/>
              </w:rPr>
              <w:t>10</w:t>
            </w:r>
          </w:p>
        </w:tc>
        <w:tc>
          <w:tcPr>
            <w:tcW w:w="2750" w:type="dxa"/>
          </w:tcPr>
          <w:p w14:paraId="0824DCAC" w14:textId="77777777" w:rsidR="00DB15E9" w:rsidRDefault="0078312E">
            <w:pPr>
              <w:pStyle w:val="ESSPTableCaption"/>
              <w:keepNext w:val="0"/>
              <w:tabs>
                <w:tab w:val="clear" w:pos="1440"/>
                <w:tab w:val="clear" w:pos="4140"/>
                <w:tab w:val="clear" w:pos="7920"/>
              </w:tabs>
              <w:spacing w:before="0" w:after="0"/>
              <w:rPr>
                <w:b w:val="0"/>
              </w:rPr>
            </w:pPr>
            <w:r>
              <w:rPr>
                <w:b w:val="0"/>
              </w:rPr>
              <w:t>2.62E+07</w:t>
            </w:r>
          </w:p>
        </w:tc>
      </w:tr>
      <w:tr w:rsidR="00DB15E9" w14:paraId="190F6B24" w14:textId="77777777" w:rsidTr="00DB15E9">
        <w:trPr>
          <w:jc w:val="center"/>
        </w:trPr>
        <w:tc>
          <w:tcPr>
            <w:tcW w:w="2118" w:type="dxa"/>
          </w:tcPr>
          <w:p w14:paraId="6F5B8A92" w14:textId="77777777" w:rsidR="00DB15E9" w:rsidRDefault="0078312E">
            <w:pPr>
              <w:pStyle w:val="ESSPTableCaption"/>
              <w:keepNext w:val="0"/>
              <w:tabs>
                <w:tab w:val="clear" w:pos="1440"/>
                <w:tab w:val="clear" w:pos="4140"/>
                <w:tab w:val="clear" w:pos="7920"/>
              </w:tabs>
              <w:spacing w:before="0" w:after="0"/>
              <w:rPr>
                <w:b w:val="0"/>
              </w:rPr>
            </w:pPr>
            <w:r>
              <w:rPr>
                <w:b w:val="0"/>
              </w:rPr>
              <w:t>20</w:t>
            </w:r>
          </w:p>
        </w:tc>
        <w:tc>
          <w:tcPr>
            <w:tcW w:w="2750" w:type="dxa"/>
          </w:tcPr>
          <w:p w14:paraId="25DFE2E0" w14:textId="77777777" w:rsidR="00DB15E9" w:rsidRDefault="0078312E">
            <w:pPr>
              <w:pStyle w:val="ESSPTableCaption"/>
              <w:keepNext w:val="0"/>
              <w:tabs>
                <w:tab w:val="clear" w:pos="1440"/>
                <w:tab w:val="clear" w:pos="4140"/>
                <w:tab w:val="clear" w:pos="7920"/>
              </w:tabs>
              <w:spacing w:before="0" w:after="0"/>
              <w:rPr>
                <w:b w:val="0"/>
              </w:rPr>
            </w:pPr>
            <w:r>
              <w:rPr>
                <w:b w:val="0"/>
              </w:rPr>
              <w:t>9.64E+06</w:t>
            </w:r>
          </w:p>
        </w:tc>
      </w:tr>
      <w:tr w:rsidR="00DB15E9" w14:paraId="5825C72F" w14:textId="77777777" w:rsidTr="00DB15E9">
        <w:trPr>
          <w:jc w:val="center"/>
        </w:trPr>
        <w:tc>
          <w:tcPr>
            <w:tcW w:w="2118" w:type="dxa"/>
          </w:tcPr>
          <w:p w14:paraId="7F8E0DA7" w14:textId="77777777" w:rsidR="00DB15E9" w:rsidRDefault="0078312E">
            <w:pPr>
              <w:pStyle w:val="ESSPTableCaption"/>
              <w:keepNext w:val="0"/>
              <w:tabs>
                <w:tab w:val="clear" w:pos="1440"/>
                <w:tab w:val="clear" w:pos="4140"/>
                <w:tab w:val="clear" w:pos="7920"/>
              </w:tabs>
              <w:spacing w:before="0" w:after="0"/>
              <w:rPr>
                <w:b w:val="0"/>
              </w:rPr>
            </w:pPr>
            <w:r>
              <w:rPr>
                <w:b w:val="0"/>
              </w:rPr>
              <w:t>30</w:t>
            </w:r>
          </w:p>
        </w:tc>
        <w:tc>
          <w:tcPr>
            <w:tcW w:w="2750" w:type="dxa"/>
          </w:tcPr>
          <w:p w14:paraId="07AECE1C" w14:textId="77777777" w:rsidR="00DB15E9" w:rsidRDefault="0078312E">
            <w:pPr>
              <w:pStyle w:val="ESSPTableCaption"/>
              <w:keepNext w:val="0"/>
              <w:tabs>
                <w:tab w:val="clear" w:pos="1440"/>
                <w:tab w:val="clear" w:pos="4140"/>
                <w:tab w:val="clear" w:pos="7920"/>
              </w:tabs>
              <w:spacing w:before="0" w:after="0"/>
              <w:rPr>
                <w:b w:val="0"/>
              </w:rPr>
            </w:pPr>
            <w:r>
              <w:rPr>
                <w:b w:val="0"/>
              </w:rPr>
              <w:t>4.78E+06</w:t>
            </w:r>
          </w:p>
        </w:tc>
      </w:tr>
      <w:tr w:rsidR="00DB15E9" w14:paraId="773DD511" w14:textId="77777777" w:rsidTr="00DB15E9">
        <w:trPr>
          <w:jc w:val="center"/>
        </w:trPr>
        <w:tc>
          <w:tcPr>
            <w:tcW w:w="2118" w:type="dxa"/>
          </w:tcPr>
          <w:p w14:paraId="3C574D10" w14:textId="77777777" w:rsidR="00DB15E9" w:rsidRDefault="0078312E">
            <w:pPr>
              <w:pStyle w:val="ESSPTableCaption"/>
              <w:keepNext w:val="0"/>
              <w:tabs>
                <w:tab w:val="clear" w:pos="1440"/>
                <w:tab w:val="clear" w:pos="4140"/>
                <w:tab w:val="clear" w:pos="7920"/>
              </w:tabs>
              <w:spacing w:before="0" w:after="0"/>
              <w:rPr>
                <w:b w:val="0"/>
              </w:rPr>
            </w:pPr>
            <w:r>
              <w:rPr>
                <w:b w:val="0"/>
              </w:rPr>
              <w:t>40</w:t>
            </w:r>
          </w:p>
        </w:tc>
        <w:tc>
          <w:tcPr>
            <w:tcW w:w="2750" w:type="dxa"/>
          </w:tcPr>
          <w:p w14:paraId="7C34235E" w14:textId="77777777" w:rsidR="00DB15E9" w:rsidRDefault="0078312E">
            <w:pPr>
              <w:pStyle w:val="ESSPTableCaption"/>
              <w:keepNext w:val="0"/>
              <w:tabs>
                <w:tab w:val="clear" w:pos="1440"/>
                <w:tab w:val="clear" w:pos="4140"/>
                <w:tab w:val="clear" w:pos="7920"/>
              </w:tabs>
              <w:spacing w:before="0" w:after="0"/>
              <w:rPr>
                <w:b w:val="0"/>
              </w:rPr>
            </w:pPr>
            <w:r>
              <w:rPr>
                <w:b w:val="0"/>
              </w:rPr>
              <w:t>2.70E+06</w:t>
            </w:r>
          </w:p>
        </w:tc>
      </w:tr>
      <w:tr w:rsidR="00DB15E9" w14:paraId="1C4286E6" w14:textId="77777777" w:rsidTr="00DB15E9">
        <w:trPr>
          <w:jc w:val="center"/>
        </w:trPr>
        <w:tc>
          <w:tcPr>
            <w:tcW w:w="2118" w:type="dxa"/>
          </w:tcPr>
          <w:p w14:paraId="1A23DA33" w14:textId="77777777" w:rsidR="00DB15E9" w:rsidRDefault="0078312E">
            <w:pPr>
              <w:pStyle w:val="ESSPTableCaption"/>
              <w:keepNext w:val="0"/>
              <w:tabs>
                <w:tab w:val="clear" w:pos="1440"/>
                <w:tab w:val="clear" w:pos="4140"/>
                <w:tab w:val="clear" w:pos="7920"/>
              </w:tabs>
              <w:spacing w:before="0" w:after="0"/>
              <w:rPr>
                <w:b w:val="0"/>
              </w:rPr>
            </w:pPr>
            <w:r>
              <w:rPr>
                <w:b w:val="0"/>
              </w:rPr>
              <w:t>50</w:t>
            </w:r>
          </w:p>
        </w:tc>
        <w:tc>
          <w:tcPr>
            <w:tcW w:w="2750" w:type="dxa"/>
          </w:tcPr>
          <w:p w14:paraId="6C769517" w14:textId="77777777" w:rsidR="00DB15E9" w:rsidRDefault="0078312E">
            <w:pPr>
              <w:pStyle w:val="ESSPTableCaption"/>
              <w:keepNext w:val="0"/>
              <w:tabs>
                <w:tab w:val="clear" w:pos="1440"/>
                <w:tab w:val="clear" w:pos="4140"/>
                <w:tab w:val="clear" w:pos="7920"/>
              </w:tabs>
              <w:spacing w:before="0" w:after="0"/>
              <w:rPr>
                <w:b w:val="0"/>
              </w:rPr>
            </w:pPr>
            <w:r>
              <w:rPr>
                <w:b w:val="0"/>
              </w:rPr>
              <w:t>1.60E+06</w:t>
            </w:r>
          </w:p>
        </w:tc>
      </w:tr>
      <w:tr w:rsidR="00DB15E9" w14:paraId="68CAB6E8" w14:textId="77777777" w:rsidTr="00DB15E9">
        <w:trPr>
          <w:jc w:val="center"/>
        </w:trPr>
        <w:tc>
          <w:tcPr>
            <w:tcW w:w="2118" w:type="dxa"/>
          </w:tcPr>
          <w:p w14:paraId="3F3DDCA1" w14:textId="77777777" w:rsidR="00DB15E9" w:rsidRDefault="0078312E">
            <w:pPr>
              <w:pStyle w:val="ESSPTableCaption"/>
              <w:keepNext w:val="0"/>
              <w:tabs>
                <w:tab w:val="clear" w:pos="1440"/>
                <w:tab w:val="clear" w:pos="4140"/>
                <w:tab w:val="clear" w:pos="7920"/>
              </w:tabs>
              <w:spacing w:before="0" w:after="0"/>
              <w:rPr>
                <w:b w:val="0"/>
              </w:rPr>
            </w:pPr>
            <w:r>
              <w:rPr>
                <w:b w:val="0"/>
              </w:rPr>
              <w:t>60</w:t>
            </w:r>
          </w:p>
        </w:tc>
        <w:tc>
          <w:tcPr>
            <w:tcW w:w="2750" w:type="dxa"/>
          </w:tcPr>
          <w:p w14:paraId="4345D35F" w14:textId="77777777" w:rsidR="00DB15E9" w:rsidRDefault="0078312E">
            <w:pPr>
              <w:pStyle w:val="ESSPTableCaption"/>
              <w:keepNext w:val="0"/>
              <w:tabs>
                <w:tab w:val="clear" w:pos="1440"/>
                <w:tab w:val="clear" w:pos="4140"/>
                <w:tab w:val="clear" w:pos="7920"/>
              </w:tabs>
              <w:spacing w:before="0" w:after="0"/>
              <w:rPr>
                <w:b w:val="0"/>
              </w:rPr>
            </w:pPr>
            <w:r>
              <w:rPr>
                <w:b w:val="0"/>
              </w:rPr>
              <w:t>1.01E+06</w:t>
            </w:r>
          </w:p>
        </w:tc>
      </w:tr>
      <w:tr w:rsidR="00DB15E9" w14:paraId="739C4CEB" w14:textId="77777777" w:rsidTr="00DB15E9">
        <w:trPr>
          <w:jc w:val="center"/>
        </w:trPr>
        <w:tc>
          <w:tcPr>
            <w:tcW w:w="2118" w:type="dxa"/>
          </w:tcPr>
          <w:p w14:paraId="43D7C27D" w14:textId="77777777" w:rsidR="00DB15E9" w:rsidRDefault="0078312E">
            <w:pPr>
              <w:pStyle w:val="ESSPTableCaption"/>
              <w:keepNext w:val="0"/>
              <w:tabs>
                <w:tab w:val="clear" w:pos="1440"/>
                <w:tab w:val="clear" w:pos="4140"/>
                <w:tab w:val="clear" w:pos="7920"/>
              </w:tabs>
              <w:spacing w:before="0" w:after="0"/>
              <w:rPr>
                <w:b w:val="0"/>
              </w:rPr>
            </w:pPr>
            <w:r>
              <w:rPr>
                <w:b w:val="0"/>
              </w:rPr>
              <w:t>70</w:t>
            </w:r>
          </w:p>
        </w:tc>
        <w:tc>
          <w:tcPr>
            <w:tcW w:w="2750" w:type="dxa"/>
          </w:tcPr>
          <w:p w14:paraId="474D17F1" w14:textId="77777777" w:rsidR="00DB15E9" w:rsidRDefault="0078312E">
            <w:pPr>
              <w:pStyle w:val="ESSPTableCaption"/>
              <w:keepNext w:val="0"/>
              <w:tabs>
                <w:tab w:val="clear" w:pos="1440"/>
                <w:tab w:val="clear" w:pos="4140"/>
                <w:tab w:val="clear" w:pos="7920"/>
              </w:tabs>
              <w:spacing w:before="0" w:after="0"/>
              <w:rPr>
                <w:b w:val="0"/>
              </w:rPr>
            </w:pPr>
            <w:r>
              <w:rPr>
                <w:b w:val="0"/>
              </w:rPr>
              <w:t>6.60E+05</w:t>
            </w:r>
          </w:p>
        </w:tc>
      </w:tr>
      <w:tr w:rsidR="00DB15E9" w14:paraId="6044F89F" w14:textId="77777777" w:rsidTr="00DB15E9">
        <w:trPr>
          <w:jc w:val="center"/>
        </w:trPr>
        <w:tc>
          <w:tcPr>
            <w:tcW w:w="2118" w:type="dxa"/>
          </w:tcPr>
          <w:p w14:paraId="4E3FC171" w14:textId="77777777" w:rsidR="00DB15E9" w:rsidRDefault="0078312E">
            <w:pPr>
              <w:pStyle w:val="ESSPTableCaption"/>
              <w:keepNext w:val="0"/>
              <w:tabs>
                <w:tab w:val="clear" w:pos="1440"/>
                <w:tab w:val="clear" w:pos="4140"/>
                <w:tab w:val="clear" w:pos="7920"/>
              </w:tabs>
              <w:spacing w:before="0" w:after="0"/>
              <w:rPr>
                <w:b w:val="0"/>
              </w:rPr>
            </w:pPr>
            <w:r>
              <w:rPr>
                <w:b w:val="0"/>
              </w:rPr>
              <w:t>80</w:t>
            </w:r>
          </w:p>
        </w:tc>
        <w:tc>
          <w:tcPr>
            <w:tcW w:w="2750" w:type="dxa"/>
          </w:tcPr>
          <w:p w14:paraId="7EECDF71" w14:textId="77777777" w:rsidR="00DB15E9" w:rsidRDefault="0078312E">
            <w:pPr>
              <w:pStyle w:val="ESSPTableCaption"/>
              <w:keepNext w:val="0"/>
              <w:tabs>
                <w:tab w:val="clear" w:pos="1440"/>
                <w:tab w:val="clear" w:pos="4140"/>
                <w:tab w:val="clear" w:pos="7920"/>
              </w:tabs>
              <w:spacing w:before="0" w:after="0"/>
              <w:rPr>
                <w:b w:val="0"/>
              </w:rPr>
            </w:pPr>
            <w:r>
              <w:rPr>
                <w:b w:val="0"/>
              </w:rPr>
              <w:t>4.44E+05</w:t>
            </w:r>
          </w:p>
        </w:tc>
      </w:tr>
      <w:tr w:rsidR="00DB15E9" w14:paraId="64B2601A" w14:textId="77777777" w:rsidTr="00DB15E9">
        <w:trPr>
          <w:jc w:val="center"/>
        </w:trPr>
        <w:tc>
          <w:tcPr>
            <w:tcW w:w="2118" w:type="dxa"/>
          </w:tcPr>
          <w:p w14:paraId="5102CE4B" w14:textId="77777777" w:rsidR="00DB15E9" w:rsidRDefault="0078312E">
            <w:pPr>
              <w:pStyle w:val="ESSPTableCaption"/>
              <w:keepNext w:val="0"/>
              <w:tabs>
                <w:tab w:val="clear" w:pos="1440"/>
                <w:tab w:val="clear" w:pos="4140"/>
                <w:tab w:val="clear" w:pos="7920"/>
              </w:tabs>
              <w:spacing w:before="0" w:after="0"/>
              <w:rPr>
                <w:b w:val="0"/>
              </w:rPr>
            </w:pPr>
            <w:r>
              <w:rPr>
                <w:b w:val="0"/>
              </w:rPr>
              <w:t>90</w:t>
            </w:r>
          </w:p>
        </w:tc>
        <w:tc>
          <w:tcPr>
            <w:tcW w:w="2750" w:type="dxa"/>
          </w:tcPr>
          <w:p w14:paraId="73B0E79D" w14:textId="77777777" w:rsidR="00DB15E9" w:rsidRDefault="0078312E">
            <w:pPr>
              <w:pStyle w:val="ESSPTableCaption"/>
              <w:keepNext w:val="0"/>
              <w:tabs>
                <w:tab w:val="clear" w:pos="1440"/>
                <w:tab w:val="clear" w:pos="4140"/>
                <w:tab w:val="clear" w:pos="7920"/>
              </w:tabs>
              <w:spacing w:before="0" w:after="0"/>
              <w:rPr>
                <w:b w:val="0"/>
              </w:rPr>
            </w:pPr>
            <w:r>
              <w:rPr>
                <w:b w:val="0"/>
              </w:rPr>
              <w:t>3.19E+05</w:t>
            </w:r>
          </w:p>
        </w:tc>
      </w:tr>
      <w:tr w:rsidR="00DB15E9" w14:paraId="0B52B79E" w14:textId="77777777" w:rsidTr="00DB15E9">
        <w:trPr>
          <w:jc w:val="center"/>
        </w:trPr>
        <w:tc>
          <w:tcPr>
            <w:tcW w:w="2118" w:type="dxa"/>
          </w:tcPr>
          <w:p w14:paraId="2A1DBF35" w14:textId="77777777" w:rsidR="00DB15E9" w:rsidRDefault="0078312E">
            <w:pPr>
              <w:pStyle w:val="ESSPTableCaption"/>
              <w:keepNext w:val="0"/>
              <w:tabs>
                <w:tab w:val="clear" w:pos="1440"/>
                <w:tab w:val="clear" w:pos="4140"/>
                <w:tab w:val="clear" w:pos="7920"/>
              </w:tabs>
              <w:spacing w:before="0" w:after="0"/>
              <w:rPr>
                <w:b w:val="0"/>
              </w:rPr>
            </w:pPr>
            <w:r>
              <w:rPr>
                <w:b w:val="0"/>
              </w:rPr>
              <w:t>100</w:t>
            </w:r>
          </w:p>
        </w:tc>
        <w:tc>
          <w:tcPr>
            <w:tcW w:w="2750" w:type="dxa"/>
          </w:tcPr>
          <w:p w14:paraId="523D0E19" w14:textId="77777777" w:rsidR="00DB15E9" w:rsidRDefault="0078312E">
            <w:pPr>
              <w:pStyle w:val="ESSPTableCaption"/>
              <w:keepNext w:val="0"/>
              <w:tabs>
                <w:tab w:val="clear" w:pos="1440"/>
                <w:tab w:val="clear" w:pos="4140"/>
                <w:tab w:val="clear" w:pos="7920"/>
              </w:tabs>
              <w:spacing w:before="0" w:after="0"/>
              <w:rPr>
                <w:b w:val="0"/>
              </w:rPr>
            </w:pPr>
            <w:r>
              <w:rPr>
                <w:b w:val="0"/>
              </w:rPr>
              <w:t>2.31E+05</w:t>
            </w:r>
          </w:p>
        </w:tc>
      </w:tr>
      <w:tr w:rsidR="00DB15E9" w14:paraId="628B5DCE" w14:textId="77777777" w:rsidTr="00DB15E9">
        <w:trPr>
          <w:jc w:val="center"/>
        </w:trPr>
        <w:tc>
          <w:tcPr>
            <w:tcW w:w="2118" w:type="dxa"/>
          </w:tcPr>
          <w:p w14:paraId="7F5AD667" w14:textId="77777777" w:rsidR="00DB15E9" w:rsidRDefault="0078312E">
            <w:pPr>
              <w:pStyle w:val="ESSPTableCaption"/>
              <w:keepNext w:val="0"/>
              <w:tabs>
                <w:tab w:val="clear" w:pos="1440"/>
                <w:tab w:val="clear" w:pos="4140"/>
                <w:tab w:val="clear" w:pos="7920"/>
              </w:tabs>
              <w:spacing w:before="0" w:after="0"/>
              <w:rPr>
                <w:b w:val="0"/>
              </w:rPr>
            </w:pPr>
            <w:r>
              <w:rPr>
                <w:b w:val="0"/>
              </w:rPr>
              <w:t>110</w:t>
            </w:r>
          </w:p>
        </w:tc>
        <w:tc>
          <w:tcPr>
            <w:tcW w:w="2750" w:type="dxa"/>
          </w:tcPr>
          <w:p w14:paraId="5AE01B7C" w14:textId="77777777" w:rsidR="00DB15E9" w:rsidRDefault="0078312E">
            <w:pPr>
              <w:pStyle w:val="ESSPTableCaption"/>
              <w:keepNext w:val="0"/>
              <w:tabs>
                <w:tab w:val="clear" w:pos="1440"/>
                <w:tab w:val="clear" w:pos="4140"/>
                <w:tab w:val="clear" w:pos="7920"/>
              </w:tabs>
              <w:spacing w:before="0" w:after="0"/>
              <w:rPr>
                <w:b w:val="0"/>
              </w:rPr>
            </w:pPr>
            <w:r>
              <w:rPr>
                <w:b w:val="0"/>
              </w:rPr>
              <w:t>1.69E+05</w:t>
            </w:r>
          </w:p>
        </w:tc>
      </w:tr>
      <w:tr w:rsidR="00DB15E9" w14:paraId="2E553F6A" w14:textId="77777777" w:rsidTr="00DB15E9">
        <w:trPr>
          <w:jc w:val="center"/>
        </w:trPr>
        <w:tc>
          <w:tcPr>
            <w:tcW w:w="2118" w:type="dxa"/>
          </w:tcPr>
          <w:p w14:paraId="179A880C" w14:textId="77777777" w:rsidR="00DB15E9" w:rsidRDefault="0078312E">
            <w:pPr>
              <w:pStyle w:val="ESSPTableCaption"/>
              <w:keepNext w:val="0"/>
              <w:tabs>
                <w:tab w:val="clear" w:pos="1440"/>
                <w:tab w:val="clear" w:pos="4140"/>
                <w:tab w:val="clear" w:pos="7920"/>
              </w:tabs>
              <w:spacing w:before="0" w:after="0"/>
              <w:rPr>
                <w:b w:val="0"/>
              </w:rPr>
            </w:pPr>
            <w:r>
              <w:rPr>
                <w:b w:val="0"/>
              </w:rPr>
              <w:t>120</w:t>
            </w:r>
          </w:p>
        </w:tc>
        <w:tc>
          <w:tcPr>
            <w:tcW w:w="2750" w:type="dxa"/>
          </w:tcPr>
          <w:p w14:paraId="1E61F087" w14:textId="77777777" w:rsidR="00DB15E9" w:rsidRDefault="0078312E">
            <w:pPr>
              <w:pStyle w:val="ESSPTableCaption"/>
              <w:keepNext w:val="0"/>
              <w:tabs>
                <w:tab w:val="clear" w:pos="1440"/>
                <w:tab w:val="clear" w:pos="4140"/>
                <w:tab w:val="clear" w:pos="7920"/>
              </w:tabs>
              <w:spacing w:before="0" w:after="0"/>
              <w:rPr>
                <w:b w:val="0"/>
              </w:rPr>
            </w:pPr>
            <w:r>
              <w:rPr>
                <w:b w:val="0"/>
              </w:rPr>
              <w:t>1.26E+05</w:t>
            </w:r>
          </w:p>
        </w:tc>
      </w:tr>
      <w:tr w:rsidR="00DB15E9" w14:paraId="492B4536" w14:textId="77777777" w:rsidTr="00DB15E9">
        <w:trPr>
          <w:jc w:val="center"/>
        </w:trPr>
        <w:tc>
          <w:tcPr>
            <w:tcW w:w="2118" w:type="dxa"/>
          </w:tcPr>
          <w:p w14:paraId="176E8D38" w14:textId="77777777" w:rsidR="00DB15E9" w:rsidRDefault="0078312E">
            <w:pPr>
              <w:pStyle w:val="ESSPTableCaption"/>
              <w:keepNext w:val="0"/>
              <w:tabs>
                <w:tab w:val="clear" w:pos="1440"/>
                <w:tab w:val="clear" w:pos="4140"/>
                <w:tab w:val="clear" w:pos="7920"/>
              </w:tabs>
              <w:spacing w:before="0" w:after="0"/>
              <w:rPr>
                <w:b w:val="0"/>
              </w:rPr>
            </w:pPr>
            <w:r>
              <w:rPr>
                <w:b w:val="0"/>
              </w:rPr>
              <w:t>130</w:t>
            </w:r>
          </w:p>
        </w:tc>
        <w:tc>
          <w:tcPr>
            <w:tcW w:w="2750" w:type="dxa"/>
          </w:tcPr>
          <w:p w14:paraId="072C4A4E" w14:textId="77777777" w:rsidR="00DB15E9" w:rsidRDefault="0078312E">
            <w:pPr>
              <w:pStyle w:val="ESSPTableCaption"/>
              <w:keepNext w:val="0"/>
              <w:tabs>
                <w:tab w:val="clear" w:pos="1440"/>
                <w:tab w:val="clear" w:pos="4140"/>
                <w:tab w:val="clear" w:pos="7920"/>
              </w:tabs>
              <w:spacing w:before="0" w:after="0"/>
              <w:rPr>
                <w:b w:val="0"/>
              </w:rPr>
            </w:pPr>
            <w:r>
              <w:rPr>
                <w:b w:val="0"/>
              </w:rPr>
              <w:t>9.37E+04</w:t>
            </w:r>
          </w:p>
        </w:tc>
      </w:tr>
      <w:tr w:rsidR="00DB15E9" w14:paraId="429D970A" w14:textId="77777777" w:rsidTr="00DB15E9">
        <w:trPr>
          <w:jc w:val="center"/>
        </w:trPr>
        <w:tc>
          <w:tcPr>
            <w:tcW w:w="2118" w:type="dxa"/>
          </w:tcPr>
          <w:p w14:paraId="1C0B0F45" w14:textId="77777777" w:rsidR="00DB15E9" w:rsidRDefault="0078312E">
            <w:pPr>
              <w:pStyle w:val="ESSPTableCaption"/>
              <w:keepNext w:val="0"/>
              <w:tabs>
                <w:tab w:val="clear" w:pos="1440"/>
                <w:tab w:val="clear" w:pos="4140"/>
                <w:tab w:val="clear" w:pos="7920"/>
              </w:tabs>
              <w:spacing w:before="0" w:after="0"/>
              <w:rPr>
                <w:b w:val="0"/>
              </w:rPr>
            </w:pPr>
            <w:r>
              <w:rPr>
                <w:b w:val="0"/>
              </w:rPr>
              <w:t>140</w:t>
            </w:r>
          </w:p>
        </w:tc>
        <w:tc>
          <w:tcPr>
            <w:tcW w:w="2750" w:type="dxa"/>
          </w:tcPr>
          <w:p w14:paraId="6F559E0F" w14:textId="77777777" w:rsidR="00DB15E9" w:rsidRDefault="0078312E">
            <w:pPr>
              <w:pStyle w:val="ESSPTableCaption"/>
              <w:keepNext w:val="0"/>
              <w:tabs>
                <w:tab w:val="clear" w:pos="1440"/>
                <w:tab w:val="clear" w:pos="4140"/>
                <w:tab w:val="clear" w:pos="7920"/>
              </w:tabs>
              <w:spacing w:before="0" w:after="0"/>
              <w:rPr>
                <w:b w:val="0"/>
              </w:rPr>
            </w:pPr>
            <w:r>
              <w:rPr>
                <w:b w:val="0"/>
              </w:rPr>
              <w:t>6.67E+04</w:t>
            </w:r>
          </w:p>
        </w:tc>
      </w:tr>
      <w:tr w:rsidR="00DB15E9" w14:paraId="262FD853" w14:textId="77777777" w:rsidTr="00DB15E9">
        <w:trPr>
          <w:jc w:val="center"/>
        </w:trPr>
        <w:tc>
          <w:tcPr>
            <w:tcW w:w="2118" w:type="dxa"/>
          </w:tcPr>
          <w:p w14:paraId="32B8428F" w14:textId="77777777" w:rsidR="00DB15E9" w:rsidRDefault="0078312E">
            <w:pPr>
              <w:pStyle w:val="ESSPTableCaption"/>
              <w:keepNext w:val="0"/>
              <w:tabs>
                <w:tab w:val="clear" w:pos="1440"/>
                <w:tab w:val="clear" w:pos="4140"/>
                <w:tab w:val="clear" w:pos="7920"/>
              </w:tabs>
              <w:spacing w:before="0" w:after="0"/>
              <w:rPr>
                <w:b w:val="0"/>
              </w:rPr>
            </w:pPr>
            <w:r>
              <w:rPr>
                <w:b w:val="0"/>
              </w:rPr>
              <w:t>150</w:t>
            </w:r>
          </w:p>
        </w:tc>
        <w:tc>
          <w:tcPr>
            <w:tcW w:w="2750" w:type="dxa"/>
          </w:tcPr>
          <w:p w14:paraId="61DE3F50" w14:textId="77777777" w:rsidR="00DB15E9" w:rsidRDefault="0078312E">
            <w:pPr>
              <w:pStyle w:val="ESSPTableCaption"/>
              <w:keepNext w:val="0"/>
              <w:tabs>
                <w:tab w:val="clear" w:pos="1440"/>
                <w:tab w:val="clear" w:pos="4140"/>
                <w:tab w:val="clear" w:pos="7920"/>
              </w:tabs>
              <w:spacing w:before="0" w:after="0"/>
              <w:rPr>
                <w:b w:val="0"/>
              </w:rPr>
            </w:pPr>
            <w:r>
              <w:rPr>
                <w:b w:val="0"/>
              </w:rPr>
              <w:t>5.26E+04</w:t>
            </w:r>
          </w:p>
        </w:tc>
      </w:tr>
      <w:tr w:rsidR="00DB15E9" w14:paraId="26C48770" w14:textId="77777777" w:rsidTr="00DB15E9">
        <w:trPr>
          <w:jc w:val="center"/>
        </w:trPr>
        <w:tc>
          <w:tcPr>
            <w:tcW w:w="2118" w:type="dxa"/>
          </w:tcPr>
          <w:p w14:paraId="148AB016" w14:textId="77777777" w:rsidR="00DB15E9" w:rsidRDefault="0078312E">
            <w:pPr>
              <w:pStyle w:val="ESSPTableCaption"/>
              <w:keepNext w:val="0"/>
              <w:tabs>
                <w:tab w:val="clear" w:pos="1440"/>
                <w:tab w:val="clear" w:pos="4140"/>
                <w:tab w:val="clear" w:pos="7920"/>
              </w:tabs>
              <w:spacing w:before="0" w:after="0"/>
              <w:rPr>
                <w:b w:val="0"/>
              </w:rPr>
            </w:pPr>
            <w:r>
              <w:rPr>
                <w:b w:val="0"/>
              </w:rPr>
              <w:t>160</w:t>
            </w:r>
          </w:p>
        </w:tc>
        <w:tc>
          <w:tcPr>
            <w:tcW w:w="2750" w:type="dxa"/>
          </w:tcPr>
          <w:p w14:paraId="2791FDDB" w14:textId="77777777" w:rsidR="00DB15E9" w:rsidRDefault="0078312E">
            <w:pPr>
              <w:pStyle w:val="ESSPTableCaption"/>
              <w:keepNext w:val="0"/>
              <w:tabs>
                <w:tab w:val="clear" w:pos="1440"/>
                <w:tab w:val="clear" w:pos="4140"/>
                <w:tab w:val="clear" w:pos="7920"/>
              </w:tabs>
              <w:spacing w:before="0" w:after="0"/>
              <w:rPr>
                <w:b w:val="0"/>
              </w:rPr>
            </w:pPr>
            <w:r>
              <w:rPr>
                <w:b w:val="0"/>
              </w:rPr>
              <w:t>3.94E+04</w:t>
            </w:r>
          </w:p>
        </w:tc>
      </w:tr>
      <w:tr w:rsidR="00DB15E9" w14:paraId="09739E84" w14:textId="77777777" w:rsidTr="00DB15E9">
        <w:trPr>
          <w:jc w:val="center"/>
        </w:trPr>
        <w:tc>
          <w:tcPr>
            <w:tcW w:w="2118" w:type="dxa"/>
          </w:tcPr>
          <w:p w14:paraId="5C8C9519" w14:textId="77777777" w:rsidR="00DB15E9" w:rsidRDefault="0078312E">
            <w:pPr>
              <w:pStyle w:val="ESSPTableCaption"/>
              <w:keepNext w:val="0"/>
              <w:tabs>
                <w:tab w:val="clear" w:pos="1440"/>
                <w:tab w:val="clear" w:pos="4140"/>
                <w:tab w:val="clear" w:pos="7920"/>
              </w:tabs>
              <w:spacing w:before="0" w:after="0"/>
              <w:rPr>
                <w:b w:val="0"/>
              </w:rPr>
            </w:pPr>
            <w:r>
              <w:rPr>
                <w:b w:val="0"/>
              </w:rPr>
              <w:t>170</w:t>
            </w:r>
          </w:p>
        </w:tc>
        <w:tc>
          <w:tcPr>
            <w:tcW w:w="2750" w:type="dxa"/>
          </w:tcPr>
          <w:p w14:paraId="1840CFE1" w14:textId="77777777" w:rsidR="00DB15E9" w:rsidRDefault="0078312E">
            <w:pPr>
              <w:pStyle w:val="ESSPTableCaption"/>
              <w:keepNext w:val="0"/>
              <w:tabs>
                <w:tab w:val="clear" w:pos="1440"/>
                <w:tab w:val="clear" w:pos="4140"/>
                <w:tab w:val="clear" w:pos="7920"/>
              </w:tabs>
              <w:spacing w:before="0" w:after="0"/>
              <w:rPr>
                <w:b w:val="0"/>
              </w:rPr>
            </w:pPr>
            <w:r>
              <w:rPr>
                <w:b w:val="0"/>
              </w:rPr>
              <w:t>2.87E+04</w:t>
            </w:r>
          </w:p>
        </w:tc>
      </w:tr>
      <w:tr w:rsidR="00DB15E9" w14:paraId="61908B7C" w14:textId="77777777" w:rsidTr="00DB15E9">
        <w:trPr>
          <w:jc w:val="center"/>
        </w:trPr>
        <w:tc>
          <w:tcPr>
            <w:tcW w:w="2118" w:type="dxa"/>
          </w:tcPr>
          <w:p w14:paraId="3394F523" w14:textId="77777777" w:rsidR="00DB15E9" w:rsidRDefault="0078312E">
            <w:pPr>
              <w:pStyle w:val="ESSPTableCaption"/>
              <w:keepNext w:val="0"/>
              <w:tabs>
                <w:tab w:val="clear" w:pos="1440"/>
                <w:tab w:val="clear" w:pos="4140"/>
                <w:tab w:val="clear" w:pos="7920"/>
              </w:tabs>
              <w:spacing w:before="0" w:after="0"/>
              <w:rPr>
                <w:b w:val="0"/>
              </w:rPr>
            </w:pPr>
            <w:r>
              <w:rPr>
                <w:b w:val="0"/>
              </w:rPr>
              <w:t>180</w:t>
            </w:r>
          </w:p>
        </w:tc>
        <w:tc>
          <w:tcPr>
            <w:tcW w:w="2750" w:type="dxa"/>
          </w:tcPr>
          <w:p w14:paraId="748D089E" w14:textId="77777777" w:rsidR="00DB15E9" w:rsidRDefault="0078312E">
            <w:pPr>
              <w:pStyle w:val="ESSPTableCaption"/>
              <w:keepNext w:val="0"/>
              <w:tabs>
                <w:tab w:val="clear" w:pos="1440"/>
                <w:tab w:val="clear" w:pos="4140"/>
                <w:tab w:val="clear" w:pos="7920"/>
              </w:tabs>
              <w:spacing w:before="0" w:after="0"/>
              <w:rPr>
                <w:b w:val="0"/>
              </w:rPr>
            </w:pPr>
            <w:r>
              <w:rPr>
                <w:b w:val="0"/>
              </w:rPr>
              <w:t>2.36E+04</w:t>
            </w:r>
          </w:p>
        </w:tc>
      </w:tr>
      <w:tr w:rsidR="00DB15E9" w14:paraId="7B902C3B" w14:textId="77777777" w:rsidTr="00DB15E9">
        <w:trPr>
          <w:jc w:val="center"/>
        </w:trPr>
        <w:tc>
          <w:tcPr>
            <w:tcW w:w="2118" w:type="dxa"/>
          </w:tcPr>
          <w:p w14:paraId="0143F815" w14:textId="77777777" w:rsidR="00DB15E9" w:rsidRDefault="0078312E">
            <w:pPr>
              <w:pStyle w:val="ESSPTableCaption"/>
              <w:keepNext w:val="0"/>
              <w:tabs>
                <w:tab w:val="clear" w:pos="1440"/>
                <w:tab w:val="clear" w:pos="4140"/>
                <w:tab w:val="clear" w:pos="7920"/>
              </w:tabs>
              <w:spacing w:before="0" w:after="0"/>
              <w:rPr>
                <w:b w:val="0"/>
              </w:rPr>
            </w:pPr>
            <w:r>
              <w:rPr>
                <w:b w:val="0"/>
              </w:rPr>
              <w:t>190</w:t>
            </w:r>
          </w:p>
        </w:tc>
        <w:tc>
          <w:tcPr>
            <w:tcW w:w="2750" w:type="dxa"/>
          </w:tcPr>
          <w:p w14:paraId="2790DD8D" w14:textId="77777777" w:rsidR="00DB15E9" w:rsidRDefault="0078312E">
            <w:pPr>
              <w:pStyle w:val="ESSPTableCaption"/>
              <w:keepNext w:val="0"/>
              <w:tabs>
                <w:tab w:val="clear" w:pos="1440"/>
                <w:tab w:val="clear" w:pos="4140"/>
                <w:tab w:val="clear" w:pos="7920"/>
              </w:tabs>
              <w:spacing w:before="0" w:after="0"/>
              <w:rPr>
                <w:b w:val="0"/>
              </w:rPr>
            </w:pPr>
            <w:r>
              <w:rPr>
                <w:b w:val="0"/>
              </w:rPr>
              <w:t>1.88E+04</w:t>
            </w:r>
          </w:p>
        </w:tc>
      </w:tr>
      <w:tr w:rsidR="00DB15E9" w14:paraId="54C95D96" w14:textId="77777777" w:rsidTr="00DB15E9">
        <w:trPr>
          <w:jc w:val="center"/>
        </w:trPr>
        <w:tc>
          <w:tcPr>
            <w:tcW w:w="2118" w:type="dxa"/>
          </w:tcPr>
          <w:p w14:paraId="64FDE01C" w14:textId="77777777" w:rsidR="00DB15E9" w:rsidRDefault="0078312E">
            <w:pPr>
              <w:pStyle w:val="ESSPTableCaption"/>
              <w:keepNext w:val="0"/>
              <w:tabs>
                <w:tab w:val="clear" w:pos="1440"/>
                <w:tab w:val="clear" w:pos="4140"/>
                <w:tab w:val="clear" w:pos="7920"/>
              </w:tabs>
              <w:spacing w:before="0" w:after="0"/>
              <w:rPr>
                <w:b w:val="0"/>
              </w:rPr>
            </w:pPr>
            <w:r>
              <w:rPr>
                <w:b w:val="0"/>
              </w:rPr>
              <w:t>200</w:t>
            </w:r>
          </w:p>
        </w:tc>
        <w:tc>
          <w:tcPr>
            <w:tcW w:w="2750" w:type="dxa"/>
          </w:tcPr>
          <w:p w14:paraId="7A8B8063" w14:textId="77777777" w:rsidR="00DB15E9" w:rsidRDefault="0078312E">
            <w:pPr>
              <w:pStyle w:val="ESSPTableCaption"/>
              <w:keepNext w:val="0"/>
              <w:tabs>
                <w:tab w:val="clear" w:pos="1440"/>
                <w:tab w:val="clear" w:pos="4140"/>
                <w:tab w:val="clear" w:pos="7920"/>
              </w:tabs>
              <w:spacing w:before="0" w:after="0"/>
              <w:rPr>
                <w:b w:val="0"/>
              </w:rPr>
            </w:pPr>
            <w:r>
              <w:rPr>
                <w:b w:val="0"/>
              </w:rPr>
              <w:t>1.43E+04</w:t>
            </w:r>
          </w:p>
        </w:tc>
      </w:tr>
      <w:tr w:rsidR="00DB15E9" w14:paraId="75EE5A4B" w14:textId="77777777" w:rsidTr="00DB15E9">
        <w:trPr>
          <w:jc w:val="center"/>
        </w:trPr>
        <w:tc>
          <w:tcPr>
            <w:tcW w:w="2118" w:type="dxa"/>
          </w:tcPr>
          <w:p w14:paraId="4C1814A4" w14:textId="77777777" w:rsidR="00DB15E9" w:rsidRDefault="0078312E">
            <w:pPr>
              <w:pStyle w:val="ESSPTableCaption"/>
              <w:keepNext w:val="0"/>
              <w:tabs>
                <w:tab w:val="clear" w:pos="1440"/>
                <w:tab w:val="clear" w:pos="4140"/>
                <w:tab w:val="clear" w:pos="7920"/>
              </w:tabs>
              <w:spacing w:before="0" w:after="0"/>
              <w:rPr>
                <w:b w:val="0"/>
              </w:rPr>
            </w:pPr>
            <w:r>
              <w:rPr>
                <w:b w:val="0"/>
              </w:rPr>
              <w:t>210</w:t>
            </w:r>
          </w:p>
        </w:tc>
        <w:tc>
          <w:tcPr>
            <w:tcW w:w="2750" w:type="dxa"/>
          </w:tcPr>
          <w:p w14:paraId="52DCA68D" w14:textId="77777777" w:rsidR="00DB15E9" w:rsidRDefault="0078312E">
            <w:pPr>
              <w:pStyle w:val="ESSPTableCaption"/>
              <w:keepNext w:val="0"/>
              <w:tabs>
                <w:tab w:val="clear" w:pos="1440"/>
                <w:tab w:val="clear" w:pos="4140"/>
                <w:tab w:val="clear" w:pos="7920"/>
              </w:tabs>
              <w:spacing w:before="0" w:after="0"/>
              <w:rPr>
                <w:b w:val="0"/>
              </w:rPr>
            </w:pPr>
            <w:r>
              <w:rPr>
                <w:b w:val="0"/>
              </w:rPr>
              <w:t>1.17E+04</w:t>
            </w:r>
          </w:p>
        </w:tc>
      </w:tr>
      <w:tr w:rsidR="00DB15E9" w14:paraId="3BA9378D" w14:textId="77777777" w:rsidTr="00DB15E9">
        <w:trPr>
          <w:jc w:val="center"/>
        </w:trPr>
        <w:tc>
          <w:tcPr>
            <w:tcW w:w="2118" w:type="dxa"/>
          </w:tcPr>
          <w:p w14:paraId="540ADEBD" w14:textId="77777777" w:rsidR="00DB15E9" w:rsidRDefault="0078312E">
            <w:pPr>
              <w:pStyle w:val="ESSPTableCaption"/>
              <w:keepNext w:val="0"/>
              <w:tabs>
                <w:tab w:val="clear" w:pos="1440"/>
                <w:tab w:val="clear" w:pos="4140"/>
                <w:tab w:val="clear" w:pos="7920"/>
              </w:tabs>
              <w:spacing w:before="0" w:after="0"/>
              <w:rPr>
                <w:b w:val="0"/>
              </w:rPr>
            </w:pPr>
            <w:r>
              <w:rPr>
                <w:b w:val="0"/>
              </w:rPr>
              <w:t>220</w:t>
            </w:r>
          </w:p>
        </w:tc>
        <w:tc>
          <w:tcPr>
            <w:tcW w:w="2750" w:type="dxa"/>
          </w:tcPr>
          <w:p w14:paraId="400FDD4A" w14:textId="77777777" w:rsidR="00DB15E9" w:rsidRDefault="0078312E">
            <w:pPr>
              <w:pStyle w:val="ESSPTableCaption"/>
              <w:keepNext w:val="0"/>
              <w:tabs>
                <w:tab w:val="clear" w:pos="1440"/>
                <w:tab w:val="clear" w:pos="4140"/>
                <w:tab w:val="clear" w:pos="7920"/>
              </w:tabs>
              <w:spacing w:before="0" w:after="0"/>
              <w:rPr>
                <w:b w:val="0"/>
              </w:rPr>
            </w:pPr>
            <w:r>
              <w:rPr>
                <w:b w:val="0"/>
              </w:rPr>
              <w:t>1.01E+04</w:t>
            </w:r>
          </w:p>
        </w:tc>
      </w:tr>
      <w:tr w:rsidR="00DB15E9" w14:paraId="1569CE56" w14:textId="77777777" w:rsidTr="00DB15E9">
        <w:trPr>
          <w:jc w:val="center"/>
        </w:trPr>
        <w:tc>
          <w:tcPr>
            <w:tcW w:w="2118" w:type="dxa"/>
          </w:tcPr>
          <w:p w14:paraId="65C4E3A1" w14:textId="77777777" w:rsidR="00DB15E9" w:rsidRDefault="0078312E">
            <w:pPr>
              <w:pStyle w:val="ESSPTableCaption"/>
              <w:keepNext w:val="0"/>
              <w:tabs>
                <w:tab w:val="clear" w:pos="1440"/>
                <w:tab w:val="clear" w:pos="4140"/>
                <w:tab w:val="clear" w:pos="7920"/>
              </w:tabs>
              <w:spacing w:before="0" w:after="0"/>
              <w:rPr>
                <w:b w:val="0"/>
              </w:rPr>
            </w:pPr>
            <w:r>
              <w:rPr>
                <w:b w:val="0"/>
              </w:rPr>
              <w:t>230</w:t>
            </w:r>
          </w:p>
        </w:tc>
        <w:tc>
          <w:tcPr>
            <w:tcW w:w="2750" w:type="dxa"/>
          </w:tcPr>
          <w:p w14:paraId="4D5D754C" w14:textId="77777777" w:rsidR="00DB15E9" w:rsidRDefault="0078312E">
            <w:pPr>
              <w:pStyle w:val="ESSPTableCaption"/>
              <w:keepNext w:val="0"/>
              <w:tabs>
                <w:tab w:val="clear" w:pos="1440"/>
                <w:tab w:val="clear" w:pos="4140"/>
                <w:tab w:val="clear" w:pos="7920"/>
              </w:tabs>
              <w:spacing w:before="0" w:after="0"/>
              <w:rPr>
                <w:b w:val="0"/>
              </w:rPr>
            </w:pPr>
            <w:r>
              <w:rPr>
                <w:b w:val="0"/>
              </w:rPr>
              <w:t>8.57E+03</w:t>
            </w:r>
          </w:p>
        </w:tc>
      </w:tr>
      <w:tr w:rsidR="00DB15E9" w14:paraId="760336D4" w14:textId="77777777" w:rsidTr="00DB15E9">
        <w:trPr>
          <w:jc w:val="center"/>
        </w:trPr>
        <w:tc>
          <w:tcPr>
            <w:tcW w:w="2118" w:type="dxa"/>
          </w:tcPr>
          <w:p w14:paraId="171D7809" w14:textId="77777777" w:rsidR="00DB15E9" w:rsidRDefault="0078312E">
            <w:pPr>
              <w:pStyle w:val="ESSPTableCaption"/>
              <w:keepNext w:val="0"/>
              <w:tabs>
                <w:tab w:val="clear" w:pos="1440"/>
                <w:tab w:val="clear" w:pos="4140"/>
                <w:tab w:val="clear" w:pos="7920"/>
              </w:tabs>
              <w:spacing w:before="0" w:after="0"/>
              <w:rPr>
                <w:b w:val="0"/>
              </w:rPr>
            </w:pPr>
            <w:r>
              <w:rPr>
                <w:b w:val="0"/>
              </w:rPr>
              <w:t>240</w:t>
            </w:r>
          </w:p>
        </w:tc>
        <w:tc>
          <w:tcPr>
            <w:tcW w:w="2750" w:type="dxa"/>
          </w:tcPr>
          <w:p w14:paraId="6092ACFC" w14:textId="77777777" w:rsidR="00DB15E9" w:rsidRDefault="0078312E">
            <w:pPr>
              <w:pStyle w:val="ESSPTableCaption"/>
              <w:keepNext w:val="0"/>
              <w:tabs>
                <w:tab w:val="clear" w:pos="1440"/>
                <w:tab w:val="clear" w:pos="4140"/>
                <w:tab w:val="clear" w:pos="7920"/>
              </w:tabs>
              <w:spacing w:before="0" w:after="0"/>
              <w:rPr>
                <w:b w:val="0"/>
              </w:rPr>
            </w:pPr>
            <w:r>
              <w:rPr>
                <w:b w:val="0"/>
              </w:rPr>
              <w:t>7.10E+03</w:t>
            </w:r>
          </w:p>
        </w:tc>
      </w:tr>
      <w:tr w:rsidR="00DB15E9" w14:paraId="30D5122B" w14:textId="77777777" w:rsidTr="00DB15E9">
        <w:trPr>
          <w:jc w:val="center"/>
        </w:trPr>
        <w:tc>
          <w:tcPr>
            <w:tcW w:w="2118" w:type="dxa"/>
          </w:tcPr>
          <w:p w14:paraId="745B69CF" w14:textId="77777777" w:rsidR="00DB15E9" w:rsidRDefault="0078312E">
            <w:pPr>
              <w:pStyle w:val="ESSPTableCaption"/>
              <w:keepNext w:val="0"/>
              <w:tabs>
                <w:tab w:val="clear" w:pos="1440"/>
                <w:tab w:val="clear" w:pos="4140"/>
                <w:tab w:val="clear" w:pos="7920"/>
              </w:tabs>
              <w:spacing w:before="0" w:after="0"/>
              <w:rPr>
                <w:b w:val="0"/>
              </w:rPr>
            </w:pPr>
            <w:r>
              <w:rPr>
                <w:b w:val="0"/>
              </w:rPr>
              <w:t>250</w:t>
            </w:r>
          </w:p>
        </w:tc>
        <w:tc>
          <w:tcPr>
            <w:tcW w:w="2750" w:type="dxa"/>
          </w:tcPr>
          <w:p w14:paraId="71F721B5" w14:textId="77777777" w:rsidR="00DB15E9" w:rsidRDefault="0078312E">
            <w:pPr>
              <w:pStyle w:val="ESSPTableCaption"/>
              <w:keepNext w:val="0"/>
              <w:tabs>
                <w:tab w:val="clear" w:pos="1440"/>
                <w:tab w:val="clear" w:pos="4140"/>
                <w:tab w:val="clear" w:pos="7920"/>
              </w:tabs>
              <w:spacing w:before="0" w:after="0"/>
              <w:rPr>
                <w:b w:val="0"/>
              </w:rPr>
            </w:pPr>
            <w:r>
              <w:rPr>
                <w:b w:val="0"/>
              </w:rPr>
              <w:t>5.96E+03</w:t>
            </w:r>
          </w:p>
        </w:tc>
      </w:tr>
      <w:tr w:rsidR="00DB15E9" w14:paraId="363E813A" w14:textId="77777777" w:rsidTr="00DB15E9">
        <w:trPr>
          <w:jc w:val="center"/>
        </w:trPr>
        <w:tc>
          <w:tcPr>
            <w:tcW w:w="2118" w:type="dxa"/>
          </w:tcPr>
          <w:p w14:paraId="7926C75F" w14:textId="77777777" w:rsidR="00DB15E9" w:rsidRDefault="0078312E">
            <w:pPr>
              <w:pStyle w:val="ESSPTableCaption"/>
              <w:keepNext w:val="0"/>
              <w:tabs>
                <w:tab w:val="clear" w:pos="1440"/>
                <w:tab w:val="clear" w:pos="4140"/>
                <w:tab w:val="clear" w:pos="7920"/>
              </w:tabs>
              <w:spacing w:before="0" w:after="0"/>
              <w:rPr>
                <w:b w:val="0"/>
              </w:rPr>
            </w:pPr>
            <w:r>
              <w:rPr>
                <w:b w:val="0"/>
              </w:rPr>
              <w:t>260</w:t>
            </w:r>
          </w:p>
        </w:tc>
        <w:tc>
          <w:tcPr>
            <w:tcW w:w="2750" w:type="dxa"/>
          </w:tcPr>
          <w:p w14:paraId="5FBB79DA" w14:textId="77777777" w:rsidR="00DB15E9" w:rsidRDefault="0078312E">
            <w:pPr>
              <w:pStyle w:val="ESSPTableCaption"/>
              <w:keepNext w:val="0"/>
              <w:tabs>
                <w:tab w:val="clear" w:pos="1440"/>
                <w:tab w:val="clear" w:pos="4140"/>
                <w:tab w:val="clear" w:pos="7920"/>
              </w:tabs>
              <w:spacing w:before="0" w:after="0"/>
              <w:rPr>
                <w:b w:val="0"/>
              </w:rPr>
            </w:pPr>
            <w:r>
              <w:rPr>
                <w:b w:val="0"/>
              </w:rPr>
              <w:t>5.28E+03</w:t>
            </w:r>
          </w:p>
        </w:tc>
      </w:tr>
      <w:tr w:rsidR="00DB15E9" w14:paraId="72C5B93D" w14:textId="77777777" w:rsidTr="00DB15E9">
        <w:trPr>
          <w:jc w:val="center"/>
        </w:trPr>
        <w:tc>
          <w:tcPr>
            <w:tcW w:w="2118" w:type="dxa"/>
          </w:tcPr>
          <w:p w14:paraId="16F07087" w14:textId="77777777" w:rsidR="00DB15E9" w:rsidRDefault="0078312E">
            <w:pPr>
              <w:pStyle w:val="ESSPTableCaption"/>
              <w:keepNext w:val="0"/>
              <w:tabs>
                <w:tab w:val="clear" w:pos="1440"/>
                <w:tab w:val="clear" w:pos="4140"/>
                <w:tab w:val="clear" w:pos="7920"/>
              </w:tabs>
              <w:spacing w:before="0" w:after="0"/>
              <w:rPr>
                <w:b w:val="0"/>
              </w:rPr>
            </w:pPr>
            <w:r>
              <w:rPr>
                <w:b w:val="0"/>
              </w:rPr>
              <w:t>270</w:t>
            </w:r>
          </w:p>
        </w:tc>
        <w:tc>
          <w:tcPr>
            <w:tcW w:w="2750" w:type="dxa"/>
          </w:tcPr>
          <w:p w14:paraId="2119B872" w14:textId="77777777" w:rsidR="00DB15E9" w:rsidRDefault="0078312E">
            <w:pPr>
              <w:pStyle w:val="ESSPTableCaption"/>
              <w:keepNext w:val="0"/>
              <w:tabs>
                <w:tab w:val="clear" w:pos="1440"/>
                <w:tab w:val="clear" w:pos="4140"/>
                <w:tab w:val="clear" w:pos="7920"/>
              </w:tabs>
              <w:spacing w:before="0" w:after="0"/>
              <w:rPr>
                <w:b w:val="0"/>
              </w:rPr>
            </w:pPr>
            <w:r>
              <w:rPr>
                <w:b w:val="0"/>
              </w:rPr>
              <w:t>4.63E+03</w:t>
            </w:r>
          </w:p>
        </w:tc>
      </w:tr>
      <w:tr w:rsidR="00DB15E9" w14:paraId="758C31D2" w14:textId="77777777" w:rsidTr="00DB15E9">
        <w:trPr>
          <w:jc w:val="center"/>
        </w:trPr>
        <w:tc>
          <w:tcPr>
            <w:tcW w:w="2118" w:type="dxa"/>
          </w:tcPr>
          <w:p w14:paraId="26605279" w14:textId="77777777" w:rsidR="00DB15E9" w:rsidRDefault="0078312E">
            <w:pPr>
              <w:pStyle w:val="ESSPTableCaption"/>
              <w:keepNext w:val="0"/>
              <w:tabs>
                <w:tab w:val="clear" w:pos="1440"/>
                <w:tab w:val="clear" w:pos="4140"/>
                <w:tab w:val="clear" w:pos="7920"/>
              </w:tabs>
              <w:spacing w:before="0" w:after="0"/>
              <w:rPr>
                <w:b w:val="0"/>
              </w:rPr>
            </w:pPr>
            <w:r>
              <w:rPr>
                <w:b w:val="0"/>
              </w:rPr>
              <w:t>280</w:t>
            </w:r>
          </w:p>
        </w:tc>
        <w:tc>
          <w:tcPr>
            <w:tcW w:w="2750" w:type="dxa"/>
          </w:tcPr>
          <w:p w14:paraId="5848A26E" w14:textId="77777777" w:rsidR="00DB15E9" w:rsidRDefault="0078312E">
            <w:pPr>
              <w:pStyle w:val="ESSPTableCaption"/>
              <w:keepNext w:val="0"/>
              <w:tabs>
                <w:tab w:val="clear" w:pos="1440"/>
                <w:tab w:val="clear" w:pos="4140"/>
                <w:tab w:val="clear" w:pos="7920"/>
              </w:tabs>
              <w:spacing w:before="0" w:after="0"/>
              <w:rPr>
                <w:b w:val="0"/>
              </w:rPr>
            </w:pPr>
            <w:r>
              <w:rPr>
                <w:b w:val="0"/>
              </w:rPr>
              <w:t>4.01E+03</w:t>
            </w:r>
          </w:p>
        </w:tc>
      </w:tr>
      <w:tr w:rsidR="00DB15E9" w14:paraId="0248A7F4" w14:textId="77777777" w:rsidTr="00DB15E9">
        <w:trPr>
          <w:jc w:val="center"/>
        </w:trPr>
        <w:tc>
          <w:tcPr>
            <w:tcW w:w="2118" w:type="dxa"/>
          </w:tcPr>
          <w:p w14:paraId="1E6039A8" w14:textId="77777777" w:rsidR="00DB15E9" w:rsidRDefault="0078312E">
            <w:pPr>
              <w:pStyle w:val="ESSPTableCaption"/>
              <w:keepNext w:val="0"/>
              <w:tabs>
                <w:tab w:val="clear" w:pos="1440"/>
                <w:tab w:val="clear" w:pos="4140"/>
                <w:tab w:val="clear" w:pos="7920"/>
              </w:tabs>
              <w:spacing w:before="0" w:after="0"/>
              <w:rPr>
                <w:b w:val="0"/>
              </w:rPr>
            </w:pPr>
            <w:r>
              <w:rPr>
                <w:b w:val="0"/>
              </w:rPr>
              <w:t>290</w:t>
            </w:r>
          </w:p>
        </w:tc>
        <w:tc>
          <w:tcPr>
            <w:tcW w:w="2750" w:type="dxa"/>
          </w:tcPr>
          <w:p w14:paraId="6C9098F4" w14:textId="77777777" w:rsidR="00DB15E9" w:rsidRDefault="0078312E">
            <w:pPr>
              <w:pStyle w:val="ESSPTableCaption"/>
              <w:keepNext w:val="0"/>
              <w:tabs>
                <w:tab w:val="clear" w:pos="1440"/>
                <w:tab w:val="clear" w:pos="4140"/>
                <w:tab w:val="clear" w:pos="7920"/>
              </w:tabs>
              <w:spacing w:before="0" w:after="0"/>
              <w:rPr>
                <w:b w:val="0"/>
              </w:rPr>
            </w:pPr>
            <w:r>
              <w:rPr>
                <w:b w:val="0"/>
              </w:rPr>
              <w:t>3.41E+03</w:t>
            </w:r>
          </w:p>
        </w:tc>
      </w:tr>
      <w:tr w:rsidR="00DB15E9" w14:paraId="40AC75CF" w14:textId="77777777" w:rsidTr="00DB15E9">
        <w:trPr>
          <w:jc w:val="center"/>
        </w:trPr>
        <w:tc>
          <w:tcPr>
            <w:tcW w:w="2118" w:type="dxa"/>
          </w:tcPr>
          <w:p w14:paraId="385FF0EA" w14:textId="77777777" w:rsidR="00DB15E9" w:rsidRDefault="0078312E">
            <w:pPr>
              <w:pStyle w:val="ESSPTableCaption"/>
              <w:keepNext w:val="0"/>
              <w:tabs>
                <w:tab w:val="clear" w:pos="1440"/>
                <w:tab w:val="clear" w:pos="4140"/>
                <w:tab w:val="clear" w:pos="7920"/>
              </w:tabs>
              <w:spacing w:before="0" w:after="0"/>
              <w:rPr>
                <w:b w:val="0"/>
              </w:rPr>
            </w:pPr>
            <w:r>
              <w:rPr>
                <w:b w:val="0"/>
              </w:rPr>
              <w:t>300</w:t>
            </w:r>
          </w:p>
        </w:tc>
        <w:tc>
          <w:tcPr>
            <w:tcW w:w="2750" w:type="dxa"/>
          </w:tcPr>
          <w:p w14:paraId="53AA2078" w14:textId="77777777" w:rsidR="00DB15E9" w:rsidRDefault="0078312E">
            <w:pPr>
              <w:pStyle w:val="ESSPTableCaption"/>
              <w:keepNext w:val="0"/>
              <w:tabs>
                <w:tab w:val="clear" w:pos="1440"/>
                <w:tab w:val="clear" w:pos="4140"/>
                <w:tab w:val="clear" w:pos="7920"/>
              </w:tabs>
              <w:spacing w:before="0" w:after="0"/>
              <w:rPr>
                <w:b w:val="0"/>
              </w:rPr>
            </w:pPr>
            <w:r>
              <w:rPr>
                <w:b w:val="0"/>
              </w:rPr>
              <w:t>2.90E+03</w:t>
            </w:r>
          </w:p>
        </w:tc>
      </w:tr>
    </w:tbl>
    <w:p w14:paraId="3330545A" w14:textId="77777777" w:rsidR="00DB15E9" w:rsidRDefault="0078312E">
      <w:pPr>
        <w:pStyle w:val="ESSPFigure"/>
        <w:rPr>
          <w:rFonts w:ascii="Helvetica" w:hAnsi="Helvetica"/>
          <w:noProof w:val="0"/>
        </w:rPr>
      </w:pPr>
      <w:r>
        <w:rPr>
          <w:rFonts w:ascii="Helvetica" w:hAnsi="Helvetica"/>
        </w:rPr>
        <w:lastRenderedPageBreak/>
        <w:drawing>
          <wp:inline distT="0" distB="0" distL="0" distR="0" wp14:anchorId="77CBBE6A" wp14:editId="5E54D65A">
            <wp:extent cx="5610164" cy="4107815"/>
            <wp:effectExtent l="0" t="0" r="0" b="698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3098" t="2307" r="2485" b="3765"/>
                    <a:stretch/>
                  </pic:blipFill>
                  <pic:spPr bwMode="auto">
                    <a:xfrm>
                      <a:off x="0" y="0"/>
                      <a:ext cx="5611781" cy="4108999"/>
                    </a:xfrm>
                    <a:prstGeom prst="rect">
                      <a:avLst/>
                    </a:prstGeom>
                    <a:noFill/>
                    <a:ln>
                      <a:noFill/>
                    </a:ln>
                    <a:extLst>
                      <a:ext uri="{53640926-AAD7-44D8-BBD7-CCE9431645EC}">
                        <a14:shadowObscured xmlns:a14="http://schemas.microsoft.com/office/drawing/2010/main"/>
                      </a:ext>
                    </a:extLst>
                  </pic:spPr>
                </pic:pic>
              </a:graphicData>
            </a:graphic>
          </wp:inline>
        </w:drawing>
      </w:r>
    </w:p>
    <w:p w14:paraId="6020C57A" w14:textId="77777777" w:rsidR="00DB15E9" w:rsidRDefault="0078312E">
      <w:pPr>
        <w:pStyle w:val="ESSPFigureCaption"/>
        <w:rPr>
          <w:rFonts w:ascii="Helvetica" w:hAnsi="Helvetica"/>
        </w:rPr>
      </w:pPr>
      <w:bookmarkStart w:id="339" w:name="_Ref296467037"/>
      <w:bookmarkStart w:id="340" w:name="_Toc296083679"/>
      <w:bookmarkStart w:id="341" w:name="_Toc297094367"/>
      <w:bookmarkStart w:id="342" w:name="_Toc326129330"/>
      <w:bookmarkStart w:id="343" w:name="_Ref221329832"/>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bookmarkEnd w:id="339"/>
      <w:r>
        <w:rPr>
          <w:rFonts w:ascii="Helvetica" w:hAnsi="Helvetica"/>
        </w:rPr>
        <w:t>6: TID versus Shielding Thickness</w:t>
      </w:r>
      <w:bookmarkEnd w:id="340"/>
      <w:bookmarkEnd w:id="341"/>
      <w:bookmarkEnd w:id="342"/>
      <w:bookmarkEnd w:id="343"/>
    </w:p>
    <w:p w14:paraId="6444CFC8" w14:textId="77777777" w:rsidR="00DB15E9" w:rsidRDefault="0078312E">
      <w:pPr>
        <w:pStyle w:val="ESSPBodyText"/>
      </w:pPr>
      <w:r>
        <w:t>Rationale: Exposure to ionizing radiation degrades many materials and electronics in particular, and will require mitigation to ensure full instrument function over the design mission lifetime.</w:t>
      </w:r>
      <w:r>
        <w:rPr>
          <w:color w:val="000000"/>
        </w:rPr>
        <w:t xml:space="preserve"> </w:t>
      </w:r>
      <w:r>
        <w:t>Mitigation is typically achieved through application of the appropriate shielding</w:t>
      </w:r>
      <w:r>
        <w:rPr>
          <w:bCs/>
        </w:rPr>
        <w:t>. Analysis of dose absorption through shielding is based upon the SHIELDOSE2 model, which leverages NASA’s Radiation Belt Models, AE-8 and AP-8, and JPL’s Solar Proton Fluence Model.</w:t>
      </w:r>
      <w:r>
        <w:rPr>
          <w:color w:val="000000"/>
        </w:rPr>
        <w:t xml:space="preserve"> </w:t>
      </w:r>
      <w:bookmarkStart w:id="344" w:name="OLE_LINK26"/>
      <w:bookmarkStart w:id="345" w:name="OLE_LINK29"/>
      <w:r>
        <w:t xml:space="preserve">The GEO guideline is the all-satisfy strategy scenario, based upon CII analysis of the following sources of performance data: </w:t>
      </w:r>
      <w:r>
        <w:rPr>
          <w:i/>
        </w:rPr>
        <w:t>CII RFI for GEO Hosted Payload Opportunities</w:t>
      </w:r>
      <w:r>
        <w:t xml:space="preserve"> responses and </w:t>
      </w:r>
      <w:r>
        <w:rPr>
          <w:i/>
        </w:rPr>
        <w:t>The Radiation Model for Electronic Devices on GOES-R Series Spacecraft</w:t>
      </w:r>
      <w:r>
        <w:t xml:space="preserve"> (417-R-RPT-0027).</w:t>
      </w:r>
      <w:r>
        <w:rPr>
          <w:color w:val="000000"/>
        </w:rPr>
        <w:t xml:space="preserve"> </w:t>
      </w:r>
      <w:bookmarkEnd w:id="344"/>
      <w:bookmarkEnd w:id="345"/>
      <w:r>
        <w:t>The TID accrues as a constant rate and may be scaled for shorter and longer mission durations.</w:t>
      </w:r>
    </w:p>
    <w:p w14:paraId="3EE40C2A" w14:textId="77777777" w:rsidR="00DB15E9" w:rsidRDefault="0078312E">
      <w:pPr>
        <w:pStyle w:val="ESSPBodyText"/>
      </w:pPr>
      <w:r>
        <w:t>The LEO data in 2.11.5.5 represent conservative conditions for a specific orbit.</w:t>
      </w:r>
      <w:r>
        <w:rPr>
          <w:color w:val="000000"/>
        </w:rPr>
        <w:t xml:space="preserve"> </w:t>
      </w:r>
      <w:r>
        <w:t>While these data may envelop the TID environment of other LEO mission orbits (particularly those of lower altitude and inclination), Instrument Developers should analyze the TID environment for their Instrument’s specific orbit.</w:t>
      </w:r>
      <w:r>
        <w:rPr>
          <w:color w:val="000000"/>
        </w:rPr>
        <w:t xml:space="preserve"> </w:t>
      </w:r>
      <w:r>
        <w:t>Since TID environments are nearly equivalent within the GEO domain, these data likely envelop the expected TID environment for GEO Earth Science missions.</w:t>
      </w:r>
      <w:r>
        <w:rPr>
          <w:color w:val="000000"/>
        </w:rPr>
        <w:t xml:space="preserve"> </w:t>
      </w:r>
      <w:r>
        <w:t>The same caveat regarding Instrument Developer analysis of the TID environment also applies to the GEO domain.</w:t>
      </w:r>
    </w:p>
    <w:p w14:paraId="4DB37F4C" w14:textId="77777777" w:rsidR="00DB15E9" w:rsidRDefault="0078312E">
      <w:pPr>
        <w:pStyle w:val="ESSPBodyText"/>
      </w:pPr>
      <w:r>
        <w:lastRenderedPageBreak/>
        <w:t>Note that with the advent of all electric propulsion spacecraft, significant amounts of time may be spent during the spiral orbital transfer to GEO and this must be accounted for in the development of the TID and other orbit sensitive environments.</w:t>
      </w:r>
    </w:p>
    <w:p w14:paraId="7A2770DB" w14:textId="77777777" w:rsidR="00DB15E9" w:rsidRDefault="0078312E">
      <w:pPr>
        <w:pStyle w:val="Heading4"/>
      </w:pPr>
      <w:bookmarkStart w:id="346" w:name="_Toc296083666"/>
      <w:bookmarkStart w:id="347" w:name="_Toc298054703"/>
      <w:r>
        <w:t xml:space="preserve"> </w:t>
      </w:r>
      <w:bookmarkStart w:id="348" w:name="_Toc471910909"/>
      <w:r>
        <w:t>Particle Fluxes</w:t>
      </w:r>
      <w:bookmarkEnd w:id="348"/>
    </w:p>
    <w:p w14:paraId="56217120" w14:textId="77777777" w:rsidR="00DB15E9" w:rsidRDefault="0078312E">
      <w:pPr>
        <w:pStyle w:val="Requirement"/>
      </w:pPr>
      <w:r>
        <w:t xml:space="preserve">The Instrument should function according to specification in the operational environment when exposed to the particle fluxes defined by </w:t>
      </w:r>
      <w:r>
        <w:rPr>
          <w:rStyle w:val="ESSPBodyTextChar"/>
        </w:rPr>
        <w:t>Table 3-11</w:t>
      </w:r>
      <w:r>
        <w:t>.</w:t>
      </w:r>
    </w:p>
    <w:p w14:paraId="5BFDC44C" w14:textId="77777777" w:rsidR="00DB15E9" w:rsidRDefault="0078312E">
      <w:pPr>
        <w:pStyle w:val="ESSPFigure"/>
        <w:keepNext w:val="0"/>
        <w:jc w:val="left"/>
        <w:rPr>
          <w:rFonts w:asciiTheme="minorHAnsi" w:hAnsiTheme="minorHAnsi" w:cstheme="minorHAnsi"/>
          <w:noProof w:val="0"/>
          <w:szCs w:val="24"/>
        </w:rPr>
      </w:pPr>
      <w:r>
        <w:rPr>
          <w:rFonts w:asciiTheme="minorHAnsi" w:hAnsiTheme="minorHAnsi" w:cstheme="minorHAnsi"/>
          <w:noProof w:val="0"/>
          <w:szCs w:val="22"/>
        </w:rPr>
        <w:t>Rationale:</w:t>
      </w:r>
      <w:r>
        <w:rPr>
          <w:rFonts w:asciiTheme="minorHAnsi" w:hAnsiTheme="minorHAnsi" w:cstheme="minorHAnsi"/>
          <w:noProof w:val="0"/>
        </w:rPr>
        <w:t xml:space="preserve"> The particle</w:t>
      </w:r>
      <w:r>
        <w:rPr>
          <w:rFonts w:asciiTheme="minorHAnsi" w:hAnsiTheme="minorHAnsi" w:cstheme="minorHAnsi"/>
          <w:noProof w:val="0"/>
          <w:szCs w:val="22"/>
        </w:rPr>
        <w:t xml:space="preserve"> </w:t>
      </w:r>
      <w:r>
        <w:rPr>
          <w:rFonts w:asciiTheme="minorHAnsi" w:hAnsiTheme="minorHAnsi" w:cstheme="minorHAnsi"/>
          <w:noProof w:val="0"/>
        </w:rPr>
        <w:t>background causes increased noise levels in instruments and other electronics. No long term flux is included for solar particle events because of their short durations. This guidance is based upon “Long-term and worst-case particle fluxes in GEO behind 100 mils of aluminum shielding,” Table 4 of</w:t>
      </w:r>
      <w:r>
        <w:rPr>
          <w:rFonts w:asciiTheme="minorHAnsi" w:hAnsiTheme="minorHAnsi" w:cstheme="minorHAnsi"/>
          <w:i/>
          <w:noProof w:val="0"/>
        </w:rPr>
        <w:t xml:space="preserve"> </w:t>
      </w:r>
      <w:r>
        <w:rPr>
          <w:rFonts w:asciiTheme="minorHAnsi" w:hAnsiTheme="minorHAnsi" w:cstheme="minorHAnsi"/>
          <w:bCs/>
          <w:noProof w:val="0"/>
          <w:szCs w:val="24"/>
        </w:rPr>
        <w:t>417-R-RPT-0027</w:t>
      </w:r>
      <w:r>
        <w:rPr>
          <w:rFonts w:asciiTheme="minorHAnsi" w:hAnsiTheme="minorHAnsi" w:cstheme="minorHAnsi"/>
          <w:noProof w:val="0"/>
          <w:szCs w:val="24"/>
        </w:rPr>
        <w:t>.</w:t>
      </w:r>
    </w:p>
    <w:p w14:paraId="31607220" w14:textId="77777777" w:rsidR="00DB15E9" w:rsidRDefault="0078312E">
      <w:pPr>
        <w:pStyle w:val="ESSPTableCaption"/>
      </w:pPr>
      <w:bookmarkStart w:id="349" w:name="_Toc471971571"/>
      <w:r>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11</w:t>
      </w:r>
      <w:r w:rsidR="00BA5284">
        <w:rPr>
          <w:noProof/>
        </w:rPr>
        <w:fldChar w:fldCharType="end"/>
      </w:r>
      <w:r>
        <w:t>: Particle fluxes in GEO w/ 100 mils of Aluminum Shielding</w:t>
      </w:r>
      <w:bookmarkEnd w:id="349"/>
    </w:p>
    <w:tbl>
      <w:tblPr>
        <w:tblStyle w:val="TableGrid8"/>
        <w:tblW w:w="0" w:type="auto"/>
        <w:tblLook w:val="04A0" w:firstRow="1" w:lastRow="0" w:firstColumn="1" w:lastColumn="0" w:noHBand="0" w:noVBand="1"/>
      </w:tblPr>
      <w:tblGrid>
        <w:gridCol w:w="3124"/>
        <w:gridCol w:w="3118"/>
        <w:gridCol w:w="3118"/>
      </w:tblGrid>
      <w:tr w:rsidR="00DB15E9" w14:paraId="293DC4E8" w14:textId="77777777" w:rsidTr="00DB15E9">
        <w:trPr>
          <w:cnfStyle w:val="100000000000" w:firstRow="1" w:lastRow="0" w:firstColumn="0" w:lastColumn="0" w:oddVBand="0" w:evenVBand="0" w:oddHBand="0" w:evenHBand="0" w:firstRowFirstColumn="0" w:firstRowLastColumn="0" w:lastRowFirstColumn="0" w:lastRowLastColumn="0"/>
        </w:trPr>
        <w:tc>
          <w:tcPr>
            <w:tcW w:w="3192" w:type="dxa"/>
          </w:tcPr>
          <w:p w14:paraId="5C06F949" w14:textId="77777777" w:rsidR="00DB15E9" w:rsidRDefault="0078312E">
            <w:pPr>
              <w:keepNext/>
              <w:spacing w:after="0"/>
              <w:jc w:val="center"/>
              <w:rPr>
                <w:rFonts w:ascii="Helvetica" w:hAnsi="Helvetica"/>
              </w:rPr>
            </w:pPr>
            <w:r>
              <w:rPr>
                <w:rFonts w:ascii="Helvetica" w:hAnsi="Helvetica"/>
              </w:rPr>
              <w:t>Radiation:</w:t>
            </w:r>
          </w:p>
        </w:tc>
        <w:tc>
          <w:tcPr>
            <w:tcW w:w="3192" w:type="dxa"/>
          </w:tcPr>
          <w:p w14:paraId="12964030" w14:textId="77777777" w:rsidR="00DB15E9" w:rsidRDefault="0078312E">
            <w:pPr>
              <w:keepNext/>
              <w:spacing w:after="0"/>
              <w:jc w:val="center"/>
              <w:rPr>
                <w:rFonts w:ascii="Helvetica" w:hAnsi="Helvetica"/>
              </w:rPr>
            </w:pPr>
            <w:r>
              <w:rPr>
                <w:rFonts w:ascii="Helvetica" w:hAnsi="Helvetica"/>
              </w:rPr>
              <w:t>Long-term flux [#/cm</w:t>
            </w:r>
            <w:r>
              <w:rPr>
                <w:rFonts w:ascii="Helvetica" w:hAnsi="Helvetica"/>
                <w:szCs w:val="24"/>
                <w:vertAlign w:val="superscript"/>
              </w:rPr>
              <w:t>2</w:t>
            </w:r>
            <w:r>
              <w:rPr>
                <w:rFonts w:ascii="Helvetica" w:hAnsi="Helvetica"/>
              </w:rPr>
              <w:t>/s]</w:t>
            </w:r>
          </w:p>
        </w:tc>
        <w:tc>
          <w:tcPr>
            <w:tcW w:w="3192" w:type="dxa"/>
          </w:tcPr>
          <w:p w14:paraId="29291CAC" w14:textId="77777777" w:rsidR="00DB15E9" w:rsidRDefault="0078312E">
            <w:pPr>
              <w:keepNext/>
              <w:spacing w:after="0"/>
              <w:jc w:val="center"/>
              <w:rPr>
                <w:rFonts w:ascii="Helvetica" w:hAnsi="Helvetica"/>
              </w:rPr>
            </w:pPr>
            <w:r>
              <w:rPr>
                <w:rFonts w:ascii="Helvetica" w:hAnsi="Helvetica"/>
              </w:rPr>
              <w:t>Worst-case flux [#/cm</w:t>
            </w:r>
            <w:r>
              <w:rPr>
                <w:rFonts w:ascii="Helvetica" w:hAnsi="Helvetica"/>
                <w:szCs w:val="24"/>
                <w:vertAlign w:val="superscript"/>
              </w:rPr>
              <w:t>2</w:t>
            </w:r>
            <w:r>
              <w:rPr>
                <w:rFonts w:ascii="Helvetica" w:hAnsi="Helvetica"/>
              </w:rPr>
              <w:t>/s]</w:t>
            </w:r>
          </w:p>
        </w:tc>
      </w:tr>
      <w:tr w:rsidR="00DB15E9" w14:paraId="14AA39EF" w14:textId="77777777" w:rsidTr="00DB15E9">
        <w:tc>
          <w:tcPr>
            <w:tcW w:w="3192" w:type="dxa"/>
          </w:tcPr>
          <w:p w14:paraId="41B7CAA1" w14:textId="77777777" w:rsidR="00DB15E9" w:rsidRDefault="0078312E">
            <w:pPr>
              <w:keepNext/>
              <w:spacing w:after="0"/>
              <w:jc w:val="center"/>
              <w:rPr>
                <w:rFonts w:ascii="Helvetica" w:hAnsi="Helvetica"/>
              </w:rPr>
            </w:pPr>
            <w:r>
              <w:rPr>
                <w:rFonts w:ascii="Helvetica" w:hAnsi="Helvetica"/>
              </w:rPr>
              <w:t>Galactic Cosmic Rays</w:t>
            </w:r>
          </w:p>
        </w:tc>
        <w:tc>
          <w:tcPr>
            <w:tcW w:w="3192" w:type="dxa"/>
          </w:tcPr>
          <w:p w14:paraId="42E54DDE" w14:textId="77777777" w:rsidR="00DB15E9" w:rsidRDefault="0078312E">
            <w:pPr>
              <w:keepNext/>
              <w:spacing w:after="0"/>
              <w:jc w:val="center"/>
              <w:rPr>
                <w:rFonts w:ascii="Helvetica" w:hAnsi="Helvetica"/>
              </w:rPr>
            </w:pPr>
            <w:r>
              <w:rPr>
                <w:rFonts w:ascii="Helvetica" w:hAnsi="Helvetica"/>
              </w:rPr>
              <w:t>2.5</w:t>
            </w:r>
          </w:p>
        </w:tc>
        <w:tc>
          <w:tcPr>
            <w:tcW w:w="3192" w:type="dxa"/>
          </w:tcPr>
          <w:p w14:paraId="71E90D25" w14:textId="77777777" w:rsidR="00DB15E9" w:rsidRDefault="0078312E">
            <w:pPr>
              <w:keepNext/>
              <w:spacing w:after="0"/>
              <w:jc w:val="center"/>
              <w:rPr>
                <w:rFonts w:ascii="Helvetica" w:hAnsi="Helvetica"/>
              </w:rPr>
            </w:pPr>
            <w:r>
              <w:rPr>
                <w:rFonts w:ascii="Helvetica" w:hAnsi="Helvetica"/>
              </w:rPr>
              <w:t>4.6</w:t>
            </w:r>
          </w:p>
        </w:tc>
      </w:tr>
      <w:tr w:rsidR="00DB15E9" w14:paraId="2C3C6EA4" w14:textId="77777777" w:rsidTr="00DB15E9">
        <w:tc>
          <w:tcPr>
            <w:tcW w:w="3192" w:type="dxa"/>
          </w:tcPr>
          <w:p w14:paraId="617D321B" w14:textId="77777777" w:rsidR="00DB15E9" w:rsidRDefault="0078312E">
            <w:pPr>
              <w:keepNext/>
              <w:spacing w:after="0"/>
              <w:jc w:val="center"/>
              <w:rPr>
                <w:rFonts w:ascii="Helvetica" w:hAnsi="Helvetica"/>
              </w:rPr>
            </w:pPr>
            <w:r>
              <w:rPr>
                <w:rFonts w:ascii="Helvetica" w:hAnsi="Helvetica"/>
              </w:rPr>
              <w:t>Trapped Electrons</w:t>
            </w:r>
          </w:p>
        </w:tc>
        <w:tc>
          <w:tcPr>
            <w:tcW w:w="3192" w:type="dxa"/>
          </w:tcPr>
          <w:p w14:paraId="1AF81D10" w14:textId="77777777" w:rsidR="00DB15E9" w:rsidRDefault="0078312E">
            <w:pPr>
              <w:keepNext/>
              <w:spacing w:after="0"/>
              <w:jc w:val="center"/>
              <w:rPr>
                <w:rFonts w:ascii="Helvetica" w:hAnsi="Helvetica"/>
              </w:rPr>
            </w:pPr>
            <w:bookmarkStart w:id="350" w:name="OLE_LINK15"/>
            <w:bookmarkStart w:id="351" w:name="OLE_LINK17"/>
            <w:r>
              <w:rPr>
                <w:rFonts w:ascii="Helvetica" w:hAnsi="Helvetica"/>
              </w:rPr>
              <w:t xml:space="preserve">6.7 </w:t>
            </w:r>
            <w:r>
              <w:rPr>
                <w:rFonts w:ascii="Helvetica" w:eastAsia="MS Gothic" w:hAnsi="Helvetica"/>
                <w:color w:val="000000"/>
              </w:rPr>
              <w:t>× 10</w:t>
            </w:r>
            <w:r>
              <w:rPr>
                <w:rFonts w:ascii="Helvetica" w:eastAsia="MS Gothic" w:hAnsi="Helvetica"/>
                <w:color w:val="000000"/>
                <w:szCs w:val="24"/>
                <w:vertAlign w:val="superscript"/>
              </w:rPr>
              <w:t>4</w:t>
            </w:r>
            <w:bookmarkEnd w:id="350"/>
            <w:bookmarkEnd w:id="351"/>
          </w:p>
        </w:tc>
        <w:tc>
          <w:tcPr>
            <w:tcW w:w="3192" w:type="dxa"/>
          </w:tcPr>
          <w:p w14:paraId="3B7FADD4" w14:textId="77777777" w:rsidR="00DB15E9" w:rsidRDefault="0078312E">
            <w:pPr>
              <w:keepNext/>
              <w:spacing w:after="0"/>
              <w:jc w:val="center"/>
              <w:rPr>
                <w:rFonts w:ascii="Helvetica" w:hAnsi="Helvetica"/>
              </w:rPr>
            </w:pPr>
            <w:r>
              <w:rPr>
                <w:rFonts w:ascii="Helvetica" w:hAnsi="Helvetica"/>
              </w:rPr>
              <w:t xml:space="preserve">1.3 </w:t>
            </w:r>
            <w:r>
              <w:rPr>
                <w:rFonts w:ascii="Helvetica" w:eastAsia="MS Gothic" w:hAnsi="Helvetica"/>
                <w:color w:val="000000"/>
              </w:rPr>
              <w:t>× 10</w:t>
            </w:r>
            <w:r>
              <w:rPr>
                <w:rFonts w:ascii="Helvetica" w:eastAsia="MS Gothic" w:hAnsi="Helvetica"/>
                <w:color w:val="000000"/>
                <w:szCs w:val="24"/>
                <w:vertAlign w:val="superscript"/>
              </w:rPr>
              <w:t>6</w:t>
            </w:r>
          </w:p>
        </w:tc>
      </w:tr>
      <w:tr w:rsidR="00DB15E9" w14:paraId="5383CB2E" w14:textId="77777777" w:rsidTr="00DB15E9">
        <w:tc>
          <w:tcPr>
            <w:tcW w:w="3192" w:type="dxa"/>
          </w:tcPr>
          <w:p w14:paraId="256D4E24" w14:textId="77777777" w:rsidR="00DB15E9" w:rsidRDefault="0078312E">
            <w:pPr>
              <w:spacing w:after="0"/>
              <w:jc w:val="center"/>
              <w:rPr>
                <w:rFonts w:ascii="Helvetica" w:hAnsi="Helvetica"/>
              </w:rPr>
            </w:pPr>
            <w:r>
              <w:rPr>
                <w:rFonts w:ascii="Helvetica" w:hAnsi="Helvetica"/>
              </w:rPr>
              <w:t>Solar Particle Events</w:t>
            </w:r>
          </w:p>
        </w:tc>
        <w:tc>
          <w:tcPr>
            <w:tcW w:w="3192" w:type="dxa"/>
          </w:tcPr>
          <w:p w14:paraId="6D5B7645" w14:textId="77777777" w:rsidR="00DB15E9" w:rsidRDefault="00DB15E9">
            <w:pPr>
              <w:spacing w:after="0"/>
              <w:jc w:val="center"/>
              <w:rPr>
                <w:rFonts w:ascii="Helvetica" w:hAnsi="Helvetica"/>
              </w:rPr>
            </w:pPr>
          </w:p>
        </w:tc>
        <w:tc>
          <w:tcPr>
            <w:tcW w:w="3192" w:type="dxa"/>
          </w:tcPr>
          <w:p w14:paraId="68D521EF" w14:textId="77777777" w:rsidR="00DB15E9" w:rsidRDefault="0078312E">
            <w:pPr>
              <w:spacing w:after="0"/>
              <w:jc w:val="center"/>
              <w:rPr>
                <w:rFonts w:ascii="Helvetica" w:hAnsi="Helvetica"/>
              </w:rPr>
            </w:pPr>
            <w:r>
              <w:rPr>
                <w:rFonts w:ascii="Helvetica" w:hAnsi="Helvetica"/>
              </w:rPr>
              <w:t xml:space="preserve">2.0 </w:t>
            </w:r>
            <w:r>
              <w:rPr>
                <w:rFonts w:ascii="Helvetica" w:eastAsia="MS Gothic" w:hAnsi="Helvetica"/>
                <w:color w:val="000000"/>
              </w:rPr>
              <w:t>× 10</w:t>
            </w:r>
            <w:r>
              <w:rPr>
                <w:rFonts w:ascii="Helvetica" w:eastAsia="MS Gothic" w:hAnsi="Helvetica"/>
                <w:color w:val="000000"/>
                <w:szCs w:val="24"/>
                <w:vertAlign w:val="superscript"/>
              </w:rPr>
              <w:t>5</w:t>
            </w:r>
          </w:p>
        </w:tc>
      </w:tr>
    </w:tbl>
    <w:p w14:paraId="02167922" w14:textId="77777777" w:rsidR="00DB15E9" w:rsidRDefault="0078312E">
      <w:pPr>
        <w:pStyle w:val="Heading4"/>
      </w:pPr>
      <w:bookmarkStart w:id="352" w:name="_Toc471910910"/>
      <w:bookmarkEnd w:id="346"/>
      <w:bookmarkEnd w:id="347"/>
      <w:r>
        <w:t>Micrometeoroids</w:t>
      </w:r>
      <w:bookmarkEnd w:id="352"/>
    </w:p>
    <w:p w14:paraId="3331C387" w14:textId="77777777" w:rsidR="00DB15E9" w:rsidRDefault="0078312E">
      <w:pPr>
        <w:pStyle w:val="Requirement"/>
      </w:pPr>
      <w:r>
        <w:t>The Instrument Developer should perform a probability analysis to determine the type and amount of shielding to mitigate the fluence of micrometeoroids in the expected mission orbit over the primary mission.</w:t>
      </w:r>
    </w:p>
    <w:p w14:paraId="1726D209" w14:textId="77777777" w:rsidR="00DB15E9" w:rsidRDefault="0078312E">
      <w:pPr>
        <w:pStyle w:val="ESSPBodyText"/>
      </w:pPr>
      <w:r>
        <w:rPr>
          <w:rStyle w:val="ESSPBodyTextChar"/>
        </w:rPr>
        <w:fldChar w:fldCharType="begin"/>
      </w:r>
      <w:r>
        <w:instrText xml:space="preserve"> REF _Ref470090605 \h </w:instrText>
      </w:r>
      <w:r>
        <w:rPr>
          <w:rStyle w:val="ESSPBodyTextChar"/>
        </w:rPr>
      </w:r>
      <w:r>
        <w:rPr>
          <w:rStyle w:val="ESSPBodyTextChar"/>
        </w:rPr>
        <w:fldChar w:fldCharType="separate"/>
      </w:r>
      <w:r>
        <w:t xml:space="preserve">Table </w:t>
      </w:r>
      <w:r>
        <w:rPr>
          <w:noProof/>
        </w:rPr>
        <w:t>3</w:t>
      </w:r>
      <w:r>
        <w:noBreakHyphen/>
      </w:r>
      <w:r>
        <w:rPr>
          <w:noProof/>
        </w:rPr>
        <w:t>12</w:t>
      </w:r>
      <w:r>
        <w:rPr>
          <w:rStyle w:val="ESSPBodyTextChar"/>
        </w:rPr>
        <w:fldChar w:fldCharType="end"/>
      </w:r>
      <w:r>
        <w:t xml:space="preserve"> and </w:t>
      </w:r>
      <w:r>
        <w:rPr>
          <w:rStyle w:val="ESSPBodyTextChar"/>
        </w:rPr>
        <w:t>Figure 3-7</w:t>
      </w:r>
      <w:r>
        <w:t xml:space="preserve"> provide a conservative micrometeoroid flux environment.</w:t>
      </w:r>
    </w:p>
    <w:p w14:paraId="47547265" w14:textId="77777777" w:rsidR="00DB15E9" w:rsidRDefault="0078312E">
      <w:pPr>
        <w:pStyle w:val="ESSPBodyText"/>
      </w:pPr>
      <w:r>
        <w:t>Rationale: Impacts from micrometeoroids may cause permanently degraded performance or damage to the hosted payload instrument. This guidance provides estimates of the worst-case scenarios of micrometeoroid particle size and associated flux over the GEO domains. The data come from the Grün flux model assuming a meteoroid mean velocity of 20 km/s and a constant average particle density of 2.5 g/cm</w:t>
      </w:r>
      <w:r>
        <w:rPr>
          <w:vertAlign w:val="superscript"/>
        </w:rPr>
        <w:t>3</w:t>
      </w:r>
      <w:r>
        <w:t>.</w:t>
      </w:r>
    </w:p>
    <w:p w14:paraId="0DB55F57" w14:textId="77777777" w:rsidR="00DB15E9" w:rsidRDefault="0078312E">
      <w:pPr>
        <w:pStyle w:val="ESSPBodyText"/>
      </w:pPr>
      <w:r>
        <w:t>Micrometeoroid and artificial space debris flux guidelines are separate due to the stability of micrometeoroid flux over time, compared to the increase of artificial space debris.</w:t>
      </w:r>
    </w:p>
    <w:p w14:paraId="02174D7F" w14:textId="77777777" w:rsidR="00DB15E9" w:rsidRDefault="0078312E">
      <w:pPr>
        <w:pStyle w:val="ESSPTableCaption"/>
      </w:pPr>
      <w:bookmarkStart w:id="353" w:name="_Ref470090605"/>
      <w:bookmarkStart w:id="354" w:name="_Toc471971572"/>
      <w:r>
        <w:lastRenderedPageBreak/>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w:instrText>
      </w:r>
      <w:r w:rsidR="00BA5284">
        <w:instrText xml:space="preserve">IC \s 1 </w:instrText>
      </w:r>
      <w:r w:rsidR="00BA5284">
        <w:fldChar w:fldCharType="separate"/>
      </w:r>
      <w:r>
        <w:rPr>
          <w:noProof/>
        </w:rPr>
        <w:t>12</w:t>
      </w:r>
      <w:r w:rsidR="00BA5284">
        <w:rPr>
          <w:noProof/>
        </w:rPr>
        <w:fldChar w:fldCharType="end"/>
      </w:r>
      <w:bookmarkEnd w:id="353"/>
      <w:r>
        <w:t>: Worst-case Micrometeoroid Environment</w:t>
      </w:r>
      <w:bookmarkEnd w:id="354"/>
    </w:p>
    <w:tbl>
      <w:tblPr>
        <w:tblStyle w:val="TableGrid8"/>
        <w:tblW w:w="9576" w:type="dxa"/>
        <w:tblLook w:val="04A0" w:firstRow="1" w:lastRow="0" w:firstColumn="1" w:lastColumn="0" w:noHBand="0" w:noVBand="1"/>
      </w:tblPr>
      <w:tblGrid>
        <w:gridCol w:w="2394"/>
        <w:gridCol w:w="2394"/>
        <w:gridCol w:w="2394"/>
        <w:gridCol w:w="2394"/>
      </w:tblGrid>
      <w:tr w:rsidR="00DB15E9" w14:paraId="5B212257" w14:textId="77777777" w:rsidTr="00DB15E9">
        <w:trPr>
          <w:cnfStyle w:val="100000000000" w:firstRow="1" w:lastRow="0" w:firstColumn="0" w:lastColumn="0" w:oddVBand="0" w:evenVBand="0" w:oddHBand="0" w:evenHBand="0" w:firstRowFirstColumn="0" w:firstRowLastColumn="0" w:lastRowFirstColumn="0" w:lastRowLastColumn="0"/>
        </w:trPr>
        <w:tc>
          <w:tcPr>
            <w:tcW w:w="2394" w:type="dxa"/>
            <w:vMerge w:val="restart"/>
            <w:tcBorders>
              <w:left w:val="single" w:sz="4" w:space="0" w:color="000000" w:themeColor="text1"/>
              <w:right w:val="single" w:sz="4" w:space="0" w:color="FFFFFF" w:themeColor="background1"/>
            </w:tcBorders>
            <w:vAlign w:val="bottom"/>
          </w:tcPr>
          <w:p w14:paraId="5304C027" w14:textId="77777777" w:rsidR="00DB15E9" w:rsidRDefault="0078312E">
            <w:pPr>
              <w:pStyle w:val="ESSPTableText"/>
            </w:pPr>
            <w:r>
              <w:t>Particle mass [g]</w:t>
            </w:r>
          </w:p>
        </w:tc>
        <w:tc>
          <w:tcPr>
            <w:tcW w:w="2394" w:type="dxa"/>
            <w:vMerge w:val="restart"/>
            <w:tcBorders>
              <w:left w:val="single" w:sz="4" w:space="0" w:color="FFFFFF" w:themeColor="background1"/>
              <w:right w:val="single" w:sz="4" w:space="0" w:color="FFFFFF" w:themeColor="background1"/>
            </w:tcBorders>
            <w:vAlign w:val="bottom"/>
          </w:tcPr>
          <w:p w14:paraId="784C68CA" w14:textId="77777777" w:rsidR="00DB15E9" w:rsidRDefault="0078312E">
            <w:pPr>
              <w:pStyle w:val="ESSPTableText"/>
            </w:pPr>
            <w:r>
              <w:t>Particle diameter [cm]</w:t>
            </w:r>
          </w:p>
        </w:tc>
        <w:tc>
          <w:tcPr>
            <w:tcW w:w="4788" w:type="dxa"/>
            <w:gridSpan w:val="2"/>
            <w:tcBorders>
              <w:left w:val="single" w:sz="4" w:space="0" w:color="FFFFFF" w:themeColor="background1"/>
              <w:right w:val="single" w:sz="4" w:space="0" w:color="000000" w:themeColor="text1"/>
            </w:tcBorders>
          </w:tcPr>
          <w:p w14:paraId="265D0F4F" w14:textId="77777777" w:rsidR="00DB15E9" w:rsidRDefault="0078312E">
            <w:pPr>
              <w:pStyle w:val="ESSPTableText"/>
              <w:rPr>
                <w:rFonts w:ascii="Arial" w:hAnsi="Arial"/>
              </w:rPr>
            </w:pPr>
            <w:r>
              <w:t>Flux (particles/m</w:t>
            </w:r>
            <w:r>
              <w:rPr>
                <w:vertAlign w:val="superscript"/>
              </w:rPr>
              <w:t>2</w:t>
            </w:r>
            <w:r>
              <w:t>/year]</w:t>
            </w:r>
          </w:p>
        </w:tc>
      </w:tr>
      <w:tr w:rsidR="00DB15E9" w14:paraId="3C8B0543" w14:textId="77777777" w:rsidTr="00DB15E9">
        <w:tc>
          <w:tcPr>
            <w:tcW w:w="2394" w:type="dxa"/>
            <w:vMerge/>
            <w:tcBorders>
              <w:left w:val="single" w:sz="4" w:space="0" w:color="000000" w:themeColor="text1"/>
              <w:right w:val="single" w:sz="4" w:space="0" w:color="FFFFFF" w:themeColor="background1"/>
            </w:tcBorders>
          </w:tcPr>
          <w:p w14:paraId="212F38E0" w14:textId="77777777" w:rsidR="00DB15E9" w:rsidRDefault="00DB15E9">
            <w:pPr>
              <w:pStyle w:val="ESSPTableText"/>
            </w:pPr>
          </w:p>
        </w:tc>
        <w:tc>
          <w:tcPr>
            <w:tcW w:w="2394" w:type="dxa"/>
            <w:vMerge/>
            <w:tcBorders>
              <w:left w:val="single" w:sz="4" w:space="0" w:color="FFFFFF" w:themeColor="background1"/>
              <w:right w:val="single" w:sz="4" w:space="0" w:color="FFFFFF" w:themeColor="background1"/>
            </w:tcBorders>
          </w:tcPr>
          <w:p w14:paraId="2BA5B7FA" w14:textId="77777777" w:rsidR="00DB15E9" w:rsidRDefault="00DB15E9">
            <w:pPr>
              <w:pStyle w:val="ESSPTableText"/>
            </w:pPr>
          </w:p>
        </w:tc>
        <w:tc>
          <w:tcPr>
            <w:tcW w:w="2394" w:type="dxa"/>
            <w:tcBorders>
              <w:left w:val="single" w:sz="4" w:space="0" w:color="FFFFFF" w:themeColor="background1"/>
              <w:right w:val="single" w:sz="4" w:space="0" w:color="FFFFFF" w:themeColor="background1"/>
            </w:tcBorders>
            <w:shd w:val="clear" w:color="auto" w:fill="000000" w:themeFill="text1"/>
          </w:tcPr>
          <w:p w14:paraId="0F8FBA0E" w14:textId="77777777" w:rsidR="00DB15E9" w:rsidRDefault="0078312E">
            <w:pPr>
              <w:pStyle w:val="ESSPTableText"/>
            </w:pPr>
            <w:r>
              <w:t>LEO</w:t>
            </w:r>
          </w:p>
        </w:tc>
        <w:tc>
          <w:tcPr>
            <w:tcW w:w="2394" w:type="dxa"/>
            <w:tcBorders>
              <w:left w:val="single" w:sz="4" w:space="0" w:color="FFFFFF" w:themeColor="background1"/>
              <w:right w:val="single" w:sz="4" w:space="0" w:color="000000" w:themeColor="text1"/>
            </w:tcBorders>
            <w:shd w:val="clear" w:color="auto" w:fill="000000" w:themeFill="text1"/>
          </w:tcPr>
          <w:p w14:paraId="17E16276" w14:textId="77777777" w:rsidR="00DB15E9" w:rsidRDefault="0078312E">
            <w:pPr>
              <w:pStyle w:val="ESSPTableText"/>
              <w:rPr>
                <w:rFonts w:ascii="Arial" w:hAnsi="Arial"/>
              </w:rPr>
            </w:pPr>
            <w:r>
              <w:t>GEO</w:t>
            </w:r>
          </w:p>
        </w:tc>
      </w:tr>
      <w:tr w:rsidR="00DB15E9" w14:paraId="7EB14C56" w14:textId="77777777" w:rsidTr="00DB15E9">
        <w:tc>
          <w:tcPr>
            <w:tcW w:w="2394" w:type="dxa"/>
          </w:tcPr>
          <w:p w14:paraId="3C559E40" w14:textId="77777777" w:rsidR="00DB15E9" w:rsidRDefault="0078312E">
            <w:pPr>
              <w:pStyle w:val="ESSPTableText"/>
            </w:pPr>
            <w:r>
              <w:t>1.00E-18</w:t>
            </w:r>
          </w:p>
        </w:tc>
        <w:tc>
          <w:tcPr>
            <w:tcW w:w="2394" w:type="dxa"/>
            <w:tcBorders>
              <w:right w:val="single" w:sz="4" w:space="0" w:color="FFFFFF" w:themeColor="background1"/>
            </w:tcBorders>
          </w:tcPr>
          <w:p w14:paraId="3BA4DEF5" w14:textId="77777777" w:rsidR="00DB15E9" w:rsidRDefault="0078312E">
            <w:pPr>
              <w:pStyle w:val="ESSPTableText"/>
            </w:pPr>
            <w:r>
              <w:t>9.14E-07</w:t>
            </w:r>
          </w:p>
        </w:tc>
        <w:tc>
          <w:tcPr>
            <w:tcW w:w="2394" w:type="dxa"/>
            <w:tcBorders>
              <w:left w:val="single" w:sz="4" w:space="0" w:color="FFFFFF" w:themeColor="background1"/>
            </w:tcBorders>
          </w:tcPr>
          <w:p w14:paraId="3F0A3173" w14:textId="77777777" w:rsidR="00DB15E9" w:rsidRDefault="0078312E">
            <w:pPr>
              <w:pStyle w:val="ESSPTableText"/>
            </w:pPr>
            <w:r>
              <w:t>1.20E+07</w:t>
            </w:r>
          </w:p>
        </w:tc>
        <w:tc>
          <w:tcPr>
            <w:tcW w:w="2394" w:type="dxa"/>
            <w:tcBorders>
              <w:right w:val="single" w:sz="4" w:space="0" w:color="000000" w:themeColor="text1"/>
            </w:tcBorders>
          </w:tcPr>
          <w:p w14:paraId="0517D775" w14:textId="77777777" w:rsidR="00DB15E9" w:rsidRDefault="0078312E">
            <w:pPr>
              <w:pStyle w:val="ESSPTableText"/>
              <w:rPr>
                <w:rFonts w:ascii="Arial" w:hAnsi="Arial"/>
              </w:rPr>
            </w:pPr>
            <w:r>
              <w:t>9.53E+06</w:t>
            </w:r>
          </w:p>
        </w:tc>
      </w:tr>
      <w:tr w:rsidR="00DB15E9" w14:paraId="02911CB5" w14:textId="77777777" w:rsidTr="00DB15E9">
        <w:tc>
          <w:tcPr>
            <w:tcW w:w="2394" w:type="dxa"/>
          </w:tcPr>
          <w:p w14:paraId="72CA7F38" w14:textId="77777777" w:rsidR="00DB15E9" w:rsidRDefault="0078312E">
            <w:pPr>
              <w:pStyle w:val="ESSPTableText"/>
            </w:pPr>
            <w:r>
              <w:t>1.00E-17</w:t>
            </w:r>
          </w:p>
        </w:tc>
        <w:tc>
          <w:tcPr>
            <w:tcW w:w="2394" w:type="dxa"/>
          </w:tcPr>
          <w:p w14:paraId="5D7F6A79" w14:textId="77777777" w:rsidR="00DB15E9" w:rsidRDefault="0078312E">
            <w:pPr>
              <w:pStyle w:val="ESSPTableText"/>
            </w:pPr>
            <w:r>
              <w:t>1.97E-06</w:t>
            </w:r>
          </w:p>
        </w:tc>
        <w:tc>
          <w:tcPr>
            <w:tcW w:w="2394" w:type="dxa"/>
          </w:tcPr>
          <w:p w14:paraId="7C2489C8" w14:textId="77777777" w:rsidR="00DB15E9" w:rsidRDefault="0078312E">
            <w:pPr>
              <w:pStyle w:val="ESSPTableText"/>
            </w:pPr>
            <w:r>
              <w:t>1.75E+06</w:t>
            </w:r>
          </w:p>
        </w:tc>
        <w:tc>
          <w:tcPr>
            <w:tcW w:w="2394" w:type="dxa"/>
          </w:tcPr>
          <w:p w14:paraId="20C6B817" w14:textId="77777777" w:rsidR="00DB15E9" w:rsidRDefault="0078312E">
            <w:pPr>
              <w:pStyle w:val="ESSPTableText"/>
              <w:rPr>
                <w:rFonts w:ascii="Arial" w:hAnsi="Arial"/>
              </w:rPr>
            </w:pPr>
            <w:r>
              <w:t>1.39E+06</w:t>
            </w:r>
          </w:p>
        </w:tc>
      </w:tr>
      <w:tr w:rsidR="00DB15E9" w14:paraId="16CA0916" w14:textId="77777777" w:rsidTr="00DB15E9">
        <w:tc>
          <w:tcPr>
            <w:tcW w:w="2394" w:type="dxa"/>
          </w:tcPr>
          <w:p w14:paraId="1406F0C6" w14:textId="77777777" w:rsidR="00DB15E9" w:rsidRDefault="0078312E">
            <w:pPr>
              <w:pStyle w:val="ESSPTableText"/>
            </w:pPr>
            <w:r>
              <w:t>1.00E-16</w:t>
            </w:r>
          </w:p>
        </w:tc>
        <w:tc>
          <w:tcPr>
            <w:tcW w:w="2394" w:type="dxa"/>
          </w:tcPr>
          <w:p w14:paraId="694F8511" w14:textId="77777777" w:rsidR="00DB15E9" w:rsidRDefault="0078312E">
            <w:pPr>
              <w:pStyle w:val="ESSPTableText"/>
            </w:pPr>
            <w:r>
              <w:t>4.24E-06</w:t>
            </w:r>
          </w:p>
        </w:tc>
        <w:tc>
          <w:tcPr>
            <w:tcW w:w="2394" w:type="dxa"/>
          </w:tcPr>
          <w:p w14:paraId="2AB0C34E" w14:textId="77777777" w:rsidR="00DB15E9" w:rsidRDefault="0078312E">
            <w:pPr>
              <w:pStyle w:val="ESSPTableText"/>
            </w:pPr>
            <w:r>
              <w:t>2.71E+05</w:t>
            </w:r>
          </w:p>
        </w:tc>
        <w:tc>
          <w:tcPr>
            <w:tcW w:w="2394" w:type="dxa"/>
          </w:tcPr>
          <w:p w14:paraId="5A4150EA" w14:textId="77777777" w:rsidR="00DB15E9" w:rsidRDefault="0078312E">
            <w:pPr>
              <w:pStyle w:val="ESSPTableText"/>
              <w:rPr>
                <w:rFonts w:ascii="Arial" w:hAnsi="Arial"/>
              </w:rPr>
            </w:pPr>
            <w:r>
              <w:t>2.15E+05</w:t>
            </w:r>
          </w:p>
        </w:tc>
      </w:tr>
      <w:tr w:rsidR="00DB15E9" w14:paraId="1EF43433" w14:textId="77777777" w:rsidTr="00DB15E9">
        <w:tc>
          <w:tcPr>
            <w:tcW w:w="2394" w:type="dxa"/>
          </w:tcPr>
          <w:p w14:paraId="5FCB4FEE" w14:textId="77777777" w:rsidR="00DB15E9" w:rsidRDefault="0078312E">
            <w:pPr>
              <w:pStyle w:val="ESSPTableText"/>
            </w:pPr>
            <w:r>
              <w:t>1.00E-15</w:t>
            </w:r>
          </w:p>
        </w:tc>
        <w:tc>
          <w:tcPr>
            <w:tcW w:w="2394" w:type="dxa"/>
          </w:tcPr>
          <w:p w14:paraId="15C64D7B" w14:textId="77777777" w:rsidR="00DB15E9" w:rsidRDefault="0078312E">
            <w:pPr>
              <w:pStyle w:val="ESSPTableText"/>
            </w:pPr>
            <w:r>
              <w:t>9.14E-06</w:t>
            </w:r>
          </w:p>
        </w:tc>
        <w:tc>
          <w:tcPr>
            <w:tcW w:w="2394" w:type="dxa"/>
          </w:tcPr>
          <w:p w14:paraId="7397305C" w14:textId="77777777" w:rsidR="00DB15E9" w:rsidRDefault="0078312E">
            <w:pPr>
              <w:pStyle w:val="ESSPTableText"/>
            </w:pPr>
            <w:r>
              <w:t>4.87E+04</w:t>
            </w:r>
          </w:p>
        </w:tc>
        <w:tc>
          <w:tcPr>
            <w:tcW w:w="2394" w:type="dxa"/>
          </w:tcPr>
          <w:p w14:paraId="0A2740F9" w14:textId="77777777" w:rsidR="00DB15E9" w:rsidRDefault="0078312E">
            <w:pPr>
              <w:pStyle w:val="ESSPTableText"/>
              <w:rPr>
                <w:rFonts w:ascii="Arial" w:hAnsi="Arial"/>
              </w:rPr>
            </w:pPr>
            <w:r>
              <w:t>3.85E+04</w:t>
            </w:r>
          </w:p>
        </w:tc>
      </w:tr>
      <w:tr w:rsidR="00DB15E9" w14:paraId="5EF17AEA" w14:textId="77777777" w:rsidTr="00DB15E9">
        <w:tc>
          <w:tcPr>
            <w:tcW w:w="2394" w:type="dxa"/>
          </w:tcPr>
          <w:p w14:paraId="198354A8" w14:textId="77777777" w:rsidR="00DB15E9" w:rsidRDefault="0078312E">
            <w:pPr>
              <w:pStyle w:val="ESSPTableText"/>
            </w:pPr>
            <w:r>
              <w:t>1.00E-14</w:t>
            </w:r>
          </w:p>
        </w:tc>
        <w:tc>
          <w:tcPr>
            <w:tcW w:w="2394" w:type="dxa"/>
          </w:tcPr>
          <w:p w14:paraId="5E53797C" w14:textId="77777777" w:rsidR="00DB15E9" w:rsidRDefault="0078312E">
            <w:pPr>
              <w:pStyle w:val="ESSPTableText"/>
            </w:pPr>
            <w:r>
              <w:t>1.97E-05</w:t>
            </w:r>
          </w:p>
        </w:tc>
        <w:tc>
          <w:tcPr>
            <w:tcW w:w="2394" w:type="dxa"/>
          </w:tcPr>
          <w:p w14:paraId="43687CB0" w14:textId="77777777" w:rsidR="00DB15E9" w:rsidRDefault="0078312E">
            <w:pPr>
              <w:pStyle w:val="ESSPTableText"/>
            </w:pPr>
            <w:r>
              <w:t>1.15E+04</w:t>
            </w:r>
          </w:p>
        </w:tc>
        <w:tc>
          <w:tcPr>
            <w:tcW w:w="2394" w:type="dxa"/>
          </w:tcPr>
          <w:p w14:paraId="1A844255" w14:textId="77777777" w:rsidR="00DB15E9" w:rsidRDefault="0078312E">
            <w:pPr>
              <w:pStyle w:val="ESSPTableText"/>
              <w:rPr>
                <w:rFonts w:ascii="Arial" w:hAnsi="Arial"/>
              </w:rPr>
            </w:pPr>
            <w:r>
              <w:t>9.14E+03</w:t>
            </w:r>
          </w:p>
        </w:tc>
      </w:tr>
      <w:tr w:rsidR="00DB15E9" w14:paraId="4EA7B53A" w14:textId="77777777" w:rsidTr="00DB15E9">
        <w:tc>
          <w:tcPr>
            <w:tcW w:w="2394" w:type="dxa"/>
          </w:tcPr>
          <w:p w14:paraId="71053A26" w14:textId="77777777" w:rsidR="00DB15E9" w:rsidRDefault="0078312E">
            <w:pPr>
              <w:pStyle w:val="ESSPTableText"/>
            </w:pPr>
            <w:r>
              <w:t>1.00E-13</w:t>
            </w:r>
          </w:p>
        </w:tc>
        <w:tc>
          <w:tcPr>
            <w:tcW w:w="2394" w:type="dxa"/>
          </w:tcPr>
          <w:p w14:paraId="7094A728" w14:textId="77777777" w:rsidR="00DB15E9" w:rsidRDefault="0078312E">
            <w:pPr>
              <w:pStyle w:val="ESSPTableText"/>
            </w:pPr>
            <w:r>
              <w:t>4.24E-05</w:t>
            </w:r>
          </w:p>
        </w:tc>
        <w:tc>
          <w:tcPr>
            <w:tcW w:w="2394" w:type="dxa"/>
          </w:tcPr>
          <w:p w14:paraId="11DDA458" w14:textId="77777777" w:rsidR="00DB15E9" w:rsidRDefault="0078312E">
            <w:pPr>
              <w:pStyle w:val="ESSPTableText"/>
            </w:pPr>
            <w:r>
              <w:t>3.80E+03</w:t>
            </w:r>
          </w:p>
        </w:tc>
        <w:tc>
          <w:tcPr>
            <w:tcW w:w="2394" w:type="dxa"/>
          </w:tcPr>
          <w:p w14:paraId="7EF66C5A" w14:textId="77777777" w:rsidR="00DB15E9" w:rsidRDefault="0078312E">
            <w:pPr>
              <w:pStyle w:val="ESSPTableText"/>
              <w:rPr>
                <w:rFonts w:ascii="Arial" w:hAnsi="Arial"/>
              </w:rPr>
            </w:pPr>
            <w:r>
              <w:t>3.01E+03</w:t>
            </w:r>
          </w:p>
        </w:tc>
      </w:tr>
      <w:tr w:rsidR="00DB15E9" w14:paraId="1E6DEA42" w14:textId="77777777" w:rsidTr="00DB15E9">
        <w:tc>
          <w:tcPr>
            <w:tcW w:w="2394" w:type="dxa"/>
          </w:tcPr>
          <w:p w14:paraId="12E047B7" w14:textId="77777777" w:rsidR="00DB15E9" w:rsidRDefault="0078312E">
            <w:pPr>
              <w:pStyle w:val="ESSPTableText"/>
            </w:pPr>
            <w:r>
              <w:t>1.00E-12</w:t>
            </w:r>
          </w:p>
        </w:tc>
        <w:tc>
          <w:tcPr>
            <w:tcW w:w="2394" w:type="dxa"/>
          </w:tcPr>
          <w:p w14:paraId="412C028F" w14:textId="77777777" w:rsidR="00DB15E9" w:rsidRDefault="0078312E">
            <w:pPr>
              <w:pStyle w:val="ESSPTableText"/>
            </w:pPr>
            <w:r>
              <w:t>9.14E-05</w:t>
            </w:r>
          </w:p>
        </w:tc>
        <w:tc>
          <w:tcPr>
            <w:tcW w:w="2394" w:type="dxa"/>
          </w:tcPr>
          <w:p w14:paraId="506B01F0" w14:textId="77777777" w:rsidR="00DB15E9" w:rsidRDefault="0078312E">
            <w:pPr>
              <w:pStyle w:val="ESSPTableText"/>
            </w:pPr>
            <w:r>
              <w:t>1.58E+03</w:t>
            </w:r>
          </w:p>
        </w:tc>
        <w:tc>
          <w:tcPr>
            <w:tcW w:w="2394" w:type="dxa"/>
          </w:tcPr>
          <w:p w14:paraId="343633CC" w14:textId="77777777" w:rsidR="00DB15E9" w:rsidRDefault="0078312E">
            <w:pPr>
              <w:pStyle w:val="ESSPTableText"/>
              <w:rPr>
                <w:rFonts w:ascii="Arial" w:hAnsi="Arial"/>
              </w:rPr>
            </w:pPr>
            <w:r>
              <w:t>1.25E+03</w:t>
            </w:r>
          </w:p>
        </w:tc>
      </w:tr>
      <w:tr w:rsidR="00DB15E9" w14:paraId="3BAD4CA9" w14:textId="77777777" w:rsidTr="00DB15E9">
        <w:tc>
          <w:tcPr>
            <w:tcW w:w="2394" w:type="dxa"/>
          </w:tcPr>
          <w:p w14:paraId="79C0B4F3" w14:textId="77777777" w:rsidR="00DB15E9" w:rsidRDefault="0078312E">
            <w:pPr>
              <w:pStyle w:val="ESSPTableText"/>
            </w:pPr>
            <w:r>
              <w:t>1.00E-11</w:t>
            </w:r>
          </w:p>
        </w:tc>
        <w:tc>
          <w:tcPr>
            <w:tcW w:w="2394" w:type="dxa"/>
          </w:tcPr>
          <w:p w14:paraId="70EAB959" w14:textId="77777777" w:rsidR="00DB15E9" w:rsidRDefault="0078312E">
            <w:pPr>
              <w:pStyle w:val="ESSPTableText"/>
            </w:pPr>
            <w:r>
              <w:t>1.97E-04</w:t>
            </w:r>
          </w:p>
        </w:tc>
        <w:tc>
          <w:tcPr>
            <w:tcW w:w="2394" w:type="dxa"/>
          </w:tcPr>
          <w:p w14:paraId="77D57AE6" w14:textId="77777777" w:rsidR="00DB15E9" w:rsidRDefault="0078312E">
            <w:pPr>
              <w:pStyle w:val="ESSPTableText"/>
            </w:pPr>
            <w:r>
              <w:t>6.83E+02</w:t>
            </w:r>
          </w:p>
        </w:tc>
        <w:tc>
          <w:tcPr>
            <w:tcW w:w="2394" w:type="dxa"/>
          </w:tcPr>
          <w:p w14:paraId="53D8B53A" w14:textId="77777777" w:rsidR="00DB15E9" w:rsidRDefault="0078312E">
            <w:pPr>
              <w:pStyle w:val="ESSPTableText"/>
              <w:rPr>
                <w:rFonts w:ascii="Arial" w:hAnsi="Arial"/>
              </w:rPr>
            </w:pPr>
            <w:r>
              <w:t>5.40E+02</w:t>
            </w:r>
          </w:p>
        </w:tc>
      </w:tr>
      <w:tr w:rsidR="00DB15E9" w14:paraId="79596D12" w14:textId="77777777" w:rsidTr="00DB15E9">
        <w:tc>
          <w:tcPr>
            <w:tcW w:w="2394" w:type="dxa"/>
          </w:tcPr>
          <w:p w14:paraId="0262BA07" w14:textId="77777777" w:rsidR="00DB15E9" w:rsidRDefault="0078312E">
            <w:pPr>
              <w:pStyle w:val="ESSPTableText"/>
            </w:pPr>
            <w:r>
              <w:t>1.00E-10</w:t>
            </w:r>
          </w:p>
        </w:tc>
        <w:tc>
          <w:tcPr>
            <w:tcW w:w="2394" w:type="dxa"/>
          </w:tcPr>
          <w:p w14:paraId="20874EB9" w14:textId="77777777" w:rsidR="00DB15E9" w:rsidRDefault="0078312E">
            <w:pPr>
              <w:pStyle w:val="ESSPTableText"/>
            </w:pPr>
            <w:r>
              <w:t>4.24E-04</w:t>
            </w:r>
          </w:p>
        </w:tc>
        <w:tc>
          <w:tcPr>
            <w:tcW w:w="2394" w:type="dxa"/>
          </w:tcPr>
          <w:p w14:paraId="01E3E12F" w14:textId="77777777" w:rsidR="00DB15E9" w:rsidRDefault="0078312E">
            <w:pPr>
              <w:pStyle w:val="ESSPTableText"/>
            </w:pPr>
            <w:r>
              <w:t>2.92E+02</w:t>
            </w:r>
          </w:p>
        </w:tc>
        <w:tc>
          <w:tcPr>
            <w:tcW w:w="2394" w:type="dxa"/>
          </w:tcPr>
          <w:p w14:paraId="1E42879E" w14:textId="77777777" w:rsidR="00DB15E9" w:rsidRDefault="0078312E">
            <w:pPr>
              <w:pStyle w:val="ESSPTableText"/>
              <w:rPr>
                <w:rFonts w:ascii="Arial" w:hAnsi="Arial"/>
              </w:rPr>
            </w:pPr>
            <w:r>
              <w:t>2.31E+02</w:t>
            </w:r>
          </w:p>
        </w:tc>
      </w:tr>
      <w:tr w:rsidR="00DB15E9" w14:paraId="7D768241" w14:textId="77777777" w:rsidTr="00DB15E9">
        <w:tc>
          <w:tcPr>
            <w:tcW w:w="2394" w:type="dxa"/>
          </w:tcPr>
          <w:p w14:paraId="76BA56FA" w14:textId="77777777" w:rsidR="00DB15E9" w:rsidRDefault="0078312E">
            <w:pPr>
              <w:pStyle w:val="ESSPTableText"/>
            </w:pPr>
            <w:r>
              <w:t>1.00E-09</w:t>
            </w:r>
          </w:p>
        </w:tc>
        <w:tc>
          <w:tcPr>
            <w:tcW w:w="2394" w:type="dxa"/>
          </w:tcPr>
          <w:p w14:paraId="65A7B65F" w14:textId="77777777" w:rsidR="00DB15E9" w:rsidRDefault="0078312E">
            <w:pPr>
              <w:pStyle w:val="ESSPTableText"/>
            </w:pPr>
            <w:r>
              <w:t>9.14E-04</w:t>
            </w:r>
          </w:p>
        </w:tc>
        <w:tc>
          <w:tcPr>
            <w:tcW w:w="2394" w:type="dxa"/>
          </w:tcPr>
          <w:p w14:paraId="6E0C3699" w14:textId="77777777" w:rsidR="00DB15E9" w:rsidRDefault="0078312E">
            <w:pPr>
              <w:pStyle w:val="ESSPTableText"/>
            </w:pPr>
            <w:r>
              <w:t>1.38E+02</w:t>
            </w:r>
          </w:p>
        </w:tc>
        <w:tc>
          <w:tcPr>
            <w:tcW w:w="2394" w:type="dxa"/>
          </w:tcPr>
          <w:p w14:paraId="65976E7C" w14:textId="77777777" w:rsidR="00DB15E9" w:rsidRDefault="0078312E">
            <w:pPr>
              <w:pStyle w:val="ESSPTableText"/>
              <w:rPr>
                <w:rFonts w:ascii="Arial" w:hAnsi="Arial"/>
              </w:rPr>
            </w:pPr>
            <w:r>
              <w:t>1.09E+02</w:t>
            </w:r>
          </w:p>
        </w:tc>
      </w:tr>
      <w:tr w:rsidR="00DB15E9" w14:paraId="0E8722E4" w14:textId="77777777" w:rsidTr="00DB15E9">
        <w:tc>
          <w:tcPr>
            <w:tcW w:w="2394" w:type="dxa"/>
          </w:tcPr>
          <w:p w14:paraId="466FF771" w14:textId="77777777" w:rsidR="00DB15E9" w:rsidRDefault="0078312E">
            <w:pPr>
              <w:pStyle w:val="ESSPTableText"/>
            </w:pPr>
            <w:r>
              <w:t>1.00E-08</w:t>
            </w:r>
          </w:p>
        </w:tc>
        <w:tc>
          <w:tcPr>
            <w:tcW w:w="2394" w:type="dxa"/>
          </w:tcPr>
          <w:p w14:paraId="50747F65" w14:textId="77777777" w:rsidR="00DB15E9" w:rsidRDefault="0078312E">
            <w:pPr>
              <w:pStyle w:val="ESSPTableText"/>
            </w:pPr>
            <w:r>
              <w:t>1.97E-03</w:t>
            </w:r>
          </w:p>
        </w:tc>
        <w:tc>
          <w:tcPr>
            <w:tcW w:w="2394" w:type="dxa"/>
          </w:tcPr>
          <w:p w14:paraId="20481B43" w14:textId="77777777" w:rsidR="00DB15E9" w:rsidRDefault="0078312E">
            <w:pPr>
              <w:pStyle w:val="ESSPTableText"/>
            </w:pPr>
            <w:r>
              <w:t>5.41E+01</w:t>
            </w:r>
          </w:p>
        </w:tc>
        <w:tc>
          <w:tcPr>
            <w:tcW w:w="2394" w:type="dxa"/>
          </w:tcPr>
          <w:p w14:paraId="094A9D74" w14:textId="77777777" w:rsidR="00DB15E9" w:rsidRDefault="0078312E">
            <w:pPr>
              <w:pStyle w:val="ESSPTableText"/>
              <w:rPr>
                <w:rFonts w:ascii="Arial" w:hAnsi="Arial"/>
              </w:rPr>
            </w:pPr>
            <w:r>
              <w:t>4.28E+01</w:t>
            </w:r>
          </w:p>
        </w:tc>
      </w:tr>
      <w:tr w:rsidR="00DB15E9" w14:paraId="73A7EE98" w14:textId="77777777" w:rsidTr="00DB15E9">
        <w:tc>
          <w:tcPr>
            <w:tcW w:w="2394" w:type="dxa"/>
          </w:tcPr>
          <w:p w14:paraId="71523DB2" w14:textId="77777777" w:rsidR="00DB15E9" w:rsidRDefault="0078312E">
            <w:pPr>
              <w:pStyle w:val="ESSPTableText"/>
            </w:pPr>
            <w:r>
              <w:t>1.00E-07</w:t>
            </w:r>
          </w:p>
        </w:tc>
        <w:tc>
          <w:tcPr>
            <w:tcW w:w="2394" w:type="dxa"/>
          </w:tcPr>
          <w:p w14:paraId="7B15D0B1" w14:textId="77777777" w:rsidR="00DB15E9" w:rsidRDefault="0078312E">
            <w:pPr>
              <w:pStyle w:val="ESSPTableText"/>
            </w:pPr>
            <w:r>
              <w:t>4.24E-03</w:t>
            </w:r>
          </w:p>
        </w:tc>
        <w:tc>
          <w:tcPr>
            <w:tcW w:w="2394" w:type="dxa"/>
          </w:tcPr>
          <w:p w14:paraId="0EF42066" w14:textId="77777777" w:rsidR="00DB15E9" w:rsidRDefault="0078312E">
            <w:pPr>
              <w:pStyle w:val="ESSPTableText"/>
            </w:pPr>
            <w:r>
              <w:t>1.38E+01</w:t>
            </w:r>
          </w:p>
        </w:tc>
        <w:tc>
          <w:tcPr>
            <w:tcW w:w="2394" w:type="dxa"/>
          </w:tcPr>
          <w:p w14:paraId="468B938A" w14:textId="77777777" w:rsidR="00DB15E9" w:rsidRDefault="0078312E">
            <w:pPr>
              <w:pStyle w:val="ESSPTableText"/>
              <w:rPr>
                <w:rFonts w:ascii="Arial" w:hAnsi="Arial"/>
              </w:rPr>
            </w:pPr>
            <w:r>
              <w:t>1.09E+01</w:t>
            </w:r>
          </w:p>
        </w:tc>
      </w:tr>
      <w:tr w:rsidR="00DB15E9" w14:paraId="02DE0F33" w14:textId="77777777" w:rsidTr="00DB15E9">
        <w:tc>
          <w:tcPr>
            <w:tcW w:w="2394" w:type="dxa"/>
          </w:tcPr>
          <w:p w14:paraId="0C7938C7" w14:textId="77777777" w:rsidR="00DB15E9" w:rsidRDefault="0078312E">
            <w:pPr>
              <w:pStyle w:val="ESSPTableText"/>
            </w:pPr>
            <w:r>
              <w:t>1.00E-06</w:t>
            </w:r>
          </w:p>
        </w:tc>
        <w:tc>
          <w:tcPr>
            <w:tcW w:w="2394" w:type="dxa"/>
          </w:tcPr>
          <w:p w14:paraId="2183F200" w14:textId="77777777" w:rsidR="00DB15E9" w:rsidRDefault="0078312E">
            <w:pPr>
              <w:pStyle w:val="ESSPTableText"/>
            </w:pPr>
            <w:r>
              <w:t>9.14E-03</w:t>
            </w:r>
          </w:p>
        </w:tc>
        <w:tc>
          <w:tcPr>
            <w:tcW w:w="2394" w:type="dxa"/>
          </w:tcPr>
          <w:p w14:paraId="5DE7BD52" w14:textId="77777777" w:rsidR="00DB15E9" w:rsidRDefault="0078312E">
            <w:pPr>
              <w:pStyle w:val="ESSPTableText"/>
            </w:pPr>
            <w:r>
              <w:t>2.16E+00</w:t>
            </w:r>
          </w:p>
        </w:tc>
        <w:tc>
          <w:tcPr>
            <w:tcW w:w="2394" w:type="dxa"/>
          </w:tcPr>
          <w:p w14:paraId="1E56CC08" w14:textId="77777777" w:rsidR="00DB15E9" w:rsidRDefault="0078312E">
            <w:pPr>
              <w:pStyle w:val="ESSPTableText"/>
              <w:rPr>
                <w:rFonts w:ascii="Arial" w:hAnsi="Arial"/>
              </w:rPr>
            </w:pPr>
            <w:r>
              <w:t>1.71E+00</w:t>
            </w:r>
          </w:p>
        </w:tc>
      </w:tr>
      <w:tr w:rsidR="00DB15E9" w14:paraId="29FFCF2B" w14:textId="77777777" w:rsidTr="00DB15E9">
        <w:tc>
          <w:tcPr>
            <w:tcW w:w="2394" w:type="dxa"/>
          </w:tcPr>
          <w:p w14:paraId="1BF9C529" w14:textId="77777777" w:rsidR="00DB15E9" w:rsidRDefault="0078312E">
            <w:pPr>
              <w:pStyle w:val="ESSPTableText"/>
            </w:pPr>
            <w:r>
              <w:t>1.00E-05</w:t>
            </w:r>
          </w:p>
        </w:tc>
        <w:tc>
          <w:tcPr>
            <w:tcW w:w="2394" w:type="dxa"/>
          </w:tcPr>
          <w:p w14:paraId="580D8120" w14:textId="77777777" w:rsidR="00DB15E9" w:rsidRDefault="0078312E">
            <w:pPr>
              <w:pStyle w:val="ESSPTableText"/>
            </w:pPr>
            <w:r>
              <w:t>1.97E-02</w:t>
            </w:r>
          </w:p>
        </w:tc>
        <w:tc>
          <w:tcPr>
            <w:tcW w:w="2394" w:type="dxa"/>
          </w:tcPr>
          <w:p w14:paraId="191F8131" w14:textId="77777777" w:rsidR="00DB15E9" w:rsidRDefault="0078312E">
            <w:pPr>
              <w:pStyle w:val="ESSPTableText"/>
            </w:pPr>
            <w:r>
              <w:t>2.12E-01</w:t>
            </w:r>
          </w:p>
        </w:tc>
        <w:tc>
          <w:tcPr>
            <w:tcW w:w="2394" w:type="dxa"/>
          </w:tcPr>
          <w:p w14:paraId="68AC0319" w14:textId="77777777" w:rsidR="00DB15E9" w:rsidRDefault="0078312E">
            <w:pPr>
              <w:pStyle w:val="ESSPTableText"/>
              <w:rPr>
                <w:rFonts w:ascii="Arial" w:hAnsi="Arial"/>
              </w:rPr>
            </w:pPr>
            <w:r>
              <w:t>1.68E-01</w:t>
            </w:r>
          </w:p>
        </w:tc>
      </w:tr>
      <w:tr w:rsidR="00DB15E9" w14:paraId="713E1E79" w14:textId="77777777" w:rsidTr="00DB15E9">
        <w:tc>
          <w:tcPr>
            <w:tcW w:w="2394" w:type="dxa"/>
          </w:tcPr>
          <w:p w14:paraId="55BB6C7A" w14:textId="77777777" w:rsidR="00DB15E9" w:rsidRDefault="0078312E">
            <w:pPr>
              <w:pStyle w:val="ESSPTableText"/>
            </w:pPr>
            <w:r>
              <w:t>1.00E-04</w:t>
            </w:r>
          </w:p>
        </w:tc>
        <w:tc>
          <w:tcPr>
            <w:tcW w:w="2394" w:type="dxa"/>
          </w:tcPr>
          <w:p w14:paraId="123D6595" w14:textId="77777777" w:rsidR="00DB15E9" w:rsidRDefault="0078312E">
            <w:pPr>
              <w:pStyle w:val="ESSPTableText"/>
            </w:pPr>
            <w:r>
              <w:t>4.24E-02</w:t>
            </w:r>
          </w:p>
        </w:tc>
        <w:tc>
          <w:tcPr>
            <w:tcW w:w="2394" w:type="dxa"/>
          </w:tcPr>
          <w:p w14:paraId="586EAFC3" w14:textId="77777777" w:rsidR="00DB15E9" w:rsidRDefault="0078312E">
            <w:pPr>
              <w:pStyle w:val="ESSPTableText"/>
            </w:pPr>
            <w:r>
              <w:t>1.50E-02</w:t>
            </w:r>
          </w:p>
        </w:tc>
        <w:tc>
          <w:tcPr>
            <w:tcW w:w="2394" w:type="dxa"/>
          </w:tcPr>
          <w:p w14:paraId="2959B33E" w14:textId="77777777" w:rsidR="00DB15E9" w:rsidRDefault="0078312E">
            <w:pPr>
              <w:pStyle w:val="ESSPTableText"/>
              <w:rPr>
                <w:rFonts w:ascii="Arial" w:hAnsi="Arial"/>
              </w:rPr>
            </w:pPr>
            <w:r>
              <w:t>1.19E-02</w:t>
            </w:r>
          </w:p>
        </w:tc>
      </w:tr>
      <w:tr w:rsidR="00DB15E9" w14:paraId="42227C7E" w14:textId="77777777" w:rsidTr="00DB15E9">
        <w:tc>
          <w:tcPr>
            <w:tcW w:w="2394" w:type="dxa"/>
          </w:tcPr>
          <w:p w14:paraId="7723F6B3" w14:textId="77777777" w:rsidR="00DB15E9" w:rsidRDefault="0078312E">
            <w:pPr>
              <w:pStyle w:val="ESSPTableText"/>
            </w:pPr>
            <w:r>
              <w:t>1.00E-03</w:t>
            </w:r>
          </w:p>
        </w:tc>
        <w:tc>
          <w:tcPr>
            <w:tcW w:w="2394" w:type="dxa"/>
          </w:tcPr>
          <w:p w14:paraId="39BC1CDA" w14:textId="77777777" w:rsidR="00DB15E9" w:rsidRDefault="0078312E">
            <w:pPr>
              <w:pStyle w:val="ESSPTableText"/>
            </w:pPr>
            <w:r>
              <w:t>9.14E-02</w:t>
            </w:r>
          </w:p>
        </w:tc>
        <w:tc>
          <w:tcPr>
            <w:tcW w:w="2394" w:type="dxa"/>
          </w:tcPr>
          <w:p w14:paraId="00AB995C" w14:textId="77777777" w:rsidR="00DB15E9" w:rsidRDefault="0078312E">
            <w:pPr>
              <w:pStyle w:val="ESSPTableText"/>
            </w:pPr>
            <w:r>
              <w:t>8.65E-04</w:t>
            </w:r>
          </w:p>
        </w:tc>
        <w:tc>
          <w:tcPr>
            <w:tcW w:w="2394" w:type="dxa"/>
          </w:tcPr>
          <w:p w14:paraId="522720CF" w14:textId="77777777" w:rsidR="00DB15E9" w:rsidRDefault="0078312E">
            <w:pPr>
              <w:pStyle w:val="ESSPTableText"/>
              <w:rPr>
                <w:rFonts w:ascii="Arial" w:hAnsi="Arial"/>
              </w:rPr>
            </w:pPr>
            <w:r>
              <w:t>6.84E-04</w:t>
            </w:r>
          </w:p>
        </w:tc>
      </w:tr>
      <w:tr w:rsidR="00DB15E9" w14:paraId="27EEBDE7" w14:textId="77777777" w:rsidTr="00DB15E9">
        <w:tc>
          <w:tcPr>
            <w:tcW w:w="2394" w:type="dxa"/>
          </w:tcPr>
          <w:p w14:paraId="400EC42B" w14:textId="77777777" w:rsidR="00DB15E9" w:rsidRDefault="0078312E">
            <w:pPr>
              <w:pStyle w:val="ESSPTableText"/>
            </w:pPr>
            <w:r>
              <w:t>1.00E-02</w:t>
            </w:r>
          </w:p>
        </w:tc>
        <w:tc>
          <w:tcPr>
            <w:tcW w:w="2394" w:type="dxa"/>
          </w:tcPr>
          <w:p w14:paraId="118869A9" w14:textId="77777777" w:rsidR="00DB15E9" w:rsidRDefault="0078312E">
            <w:pPr>
              <w:pStyle w:val="ESSPTableText"/>
            </w:pPr>
            <w:r>
              <w:t>1.97E-01</w:t>
            </w:r>
          </w:p>
        </w:tc>
        <w:tc>
          <w:tcPr>
            <w:tcW w:w="2394" w:type="dxa"/>
          </w:tcPr>
          <w:p w14:paraId="394A292C" w14:textId="77777777" w:rsidR="00DB15E9" w:rsidRDefault="0078312E">
            <w:pPr>
              <w:pStyle w:val="ESSPTableText"/>
            </w:pPr>
            <w:r>
              <w:t>4.45E-05</w:t>
            </w:r>
          </w:p>
        </w:tc>
        <w:tc>
          <w:tcPr>
            <w:tcW w:w="2394" w:type="dxa"/>
          </w:tcPr>
          <w:p w14:paraId="6D1A6056" w14:textId="77777777" w:rsidR="00DB15E9" w:rsidRDefault="0078312E">
            <w:pPr>
              <w:pStyle w:val="ESSPTableText"/>
              <w:rPr>
                <w:rFonts w:ascii="Arial" w:hAnsi="Arial"/>
              </w:rPr>
            </w:pPr>
            <w:r>
              <w:t>3.52E-05</w:t>
            </w:r>
          </w:p>
        </w:tc>
      </w:tr>
      <w:tr w:rsidR="00DB15E9" w14:paraId="0F7C1DD7" w14:textId="77777777" w:rsidTr="00DB15E9">
        <w:tc>
          <w:tcPr>
            <w:tcW w:w="2394" w:type="dxa"/>
          </w:tcPr>
          <w:p w14:paraId="0CF807BC" w14:textId="77777777" w:rsidR="00DB15E9" w:rsidRDefault="0078312E">
            <w:pPr>
              <w:pStyle w:val="ESSPTableText"/>
            </w:pPr>
            <w:r>
              <w:t>1.00E-01</w:t>
            </w:r>
          </w:p>
        </w:tc>
        <w:tc>
          <w:tcPr>
            <w:tcW w:w="2394" w:type="dxa"/>
          </w:tcPr>
          <w:p w14:paraId="224D6F58" w14:textId="77777777" w:rsidR="00DB15E9" w:rsidRDefault="0078312E">
            <w:pPr>
              <w:pStyle w:val="ESSPTableText"/>
            </w:pPr>
            <w:r>
              <w:t>4.24E-01</w:t>
            </w:r>
          </w:p>
        </w:tc>
        <w:tc>
          <w:tcPr>
            <w:tcW w:w="2394" w:type="dxa"/>
          </w:tcPr>
          <w:p w14:paraId="0FB557B7" w14:textId="77777777" w:rsidR="00DB15E9" w:rsidRDefault="0078312E">
            <w:pPr>
              <w:pStyle w:val="ESSPTableText"/>
            </w:pPr>
            <w:r>
              <w:t>2.16E-06</w:t>
            </w:r>
          </w:p>
        </w:tc>
        <w:tc>
          <w:tcPr>
            <w:tcW w:w="2394" w:type="dxa"/>
          </w:tcPr>
          <w:p w14:paraId="3AF2CBAA" w14:textId="77777777" w:rsidR="00DB15E9" w:rsidRDefault="0078312E">
            <w:pPr>
              <w:pStyle w:val="ESSPTableText"/>
              <w:rPr>
                <w:rFonts w:ascii="Arial" w:hAnsi="Arial"/>
              </w:rPr>
            </w:pPr>
            <w:r>
              <w:t>1.71E-06</w:t>
            </w:r>
          </w:p>
        </w:tc>
      </w:tr>
      <w:tr w:rsidR="00DB15E9" w14:paraId="39CABC9E" w14:textId="77777777" w:rsidTr="00DB15E9">
        <w:tc>
          <w:tcPr>
            <w:tcW w:w="2394" w:type="dxa"/>
          </w:tcPr>
          <w:p w14:paraId="279175DB" w14:textId="77777777" w:rsidR="00DB15E9" w:rsidRDefault="0078312E">
            <w:pPr>
              <w:pStyle w:val="ESSPTableText"/>
            </w:pPr>
            <w:r>
              <w:t>1.00E+00</w:t>
            </w:r>
          </w:p>
        </w:tc>
        <w:tc>
          <w:tcPr>
            <w:tcW w:w="2394" w:type="dxa"/>
          </w:tcPr>
          <w:p w14:paraId="1263279B" w14:textId="77777777" w:rsidR="00DB15E9" w:rsidRDefault="0078312E">
            <w:pPr>
              <w:pStyle w:val="ESSPTableText"/>
            </w:pPr>
            <w:r>
              <w:t>9.14E-01</w:t>
            </w:r>
          </w:p>
        </w:tc>
        <w:tc>
          <w:tcPr>
            <w:tcW w:w="2394" w:type="dxa"/>
          </w:tcPr>
          <w:p w14:paraId="00F31F02" w14:textId="77777777" w:rsidR="00DB15E9" w:rsidRDefault="0078312E">
            <w:pPr>
              <w:pStyle w:val="ESSPTableText"/>
            </w:pPr>
            <w:r>
              <w:t>1.02E-07</w:t>
            </w:r>
          </w:p>
        </w:tc>
        <w:tc>
          <w:tcPr>
            <w:tcW w:w="2394" w:type="dxa"/>
          </w:tcPr>
          <w:p w14:paraId="09F93DF6" w14:textId="77777777" w:rsidR="00DB15E9" w:rsidRDefault="0078312E">
            <w:pPr>
              <w:pStyle w:val="ESSPTableText"/>
              <w:rPr>
                <w:rFonts w:ascii="Arial" w:hAnsi="Arial"/>
              </w:rPr>
            </w:pPr>
            <w:r>
              <w:t>8.05E-08</w:t>
            </w:r>
          </w:p>
        </w:tc>
      </w:tr>
      <w:tr w:rsidR="00DB15E9" w14:paraId="193398C2" w14:textId="77777777" w:rsidTr="00DB15E9">
        <w:tc>
          <w:tcPr>
            <w:tcW w:w="2394" w:type="dxa"/>
          </w:tcPr>
          <w:p w14:paraId="31B2CBDC" w14:textId="77777777" w:rsidR="00DB15E9" w:rsidRDefault="0078312E">
            <w:pPr>
              <w:pStyle w:val="ESSPTableText"/>
            </w:pPr>
            <w:r>
              <w:t>1.00E+01</w:t>
            </w:r>
          </w:p>
        </w:tc>
        <w:tc>
          <w:tcPr>
            <w:tcW w:w="2394" w:type="dxa"/>
          </w:tcPr>
          <w:p w14:paraId="3343799C" w14:textId="77777777" w:rsidR="00DB15E9" w:rsidRDefault="0078312E">
            <w:pPr>
              <w:pStyle w:val="ESSPTableText"/>
            </w:pPr>
            <w:r>
              <w:t>1.97E+00</w:t>
            </w:r>
          </w:p>
        </w:tc>
        <w:tc>
          <w:tcPr>
            <w:tcW w:w="2394" w:type="dxa"/>
          </w:tcPr>
          <w:p w14:paraId="3E9D2279" w14:textId="77777777" w:rsidR="00DB15E9" w:rsidRDefault="0078312E">
            <w:pPr>
              <w:pStyle w:val="ESSPTableText"/>
            </w:pPr>
            <w:r>
              <w:t>4.72E-09</w:t>
            </w:r>
          </w:p>
        </w:tc>
        <w:tc>
          <w:tcPr>
            <w:tcW w:w="2394" w:type="dxa"/>
          </w:tcPr>
          <w:p w14:paraId="2D405CC4" w14:textId="77777777" w:rsidR="00DB15E9" w:rsidRDefault="0078312E">
            <w:pPr>
              <w:pStyle w:val="ESSPTableText"/>
              <w:rPr>
                <w:rFonts w:ascii="Arial" w:hAnsi="Arial"/>
              </w:rPr>
            </w:pPr>
            <w:r>
              <w:t>3.73E-09</w:t>
            </w:r>
          </w:p>
        </w:tc>
      </w:tr>
      <w:tr w:rsidR="00DB15E9" w14:paraId="24A0414C" w14:textId="77777777" w:rsidTr="00DB15E9">
        <w:tc>
          <w:tcPr>
            <w:tcW w:w="2394" w:type="dxa"/>
          </w:tcPr>
          <w:p w14:paraId="6B77FDE0" w14:textId="77777777" w:rsidR="00DB15E9" w:rsidRDefault="0078312E">
            <w:pPr>
              <w:pStyle w:val="ESSPTableText"/>
            </w:pPr>
            <w:r>
              <w:t>1.00E+02</w:t>
            </w:r>
          </w:p>
        </w:tc>
        <w:tc>
          <w:tcPr>
            <w:tcW w:w="2394" w:type="dxa"/>
          </w:tcPr>
          <w:p w14:paraId="75536B70" w14:textId="77777777" w:rsidR="00DB15E9" w:rsidRDefault="0078312E">
            <w:pPr>
              <w:pStyle w:val="ESSPTableText"/>
            </w:pPr>
            <w:r>
              <w:t>4.24E+00</w:t>
            </w:r>
          </w:p>
        </w:tc>
        <w:tc>
          <w:tcPr>
            <w:tcW w:w="2394" w:type="dxa"/>
          </w:tcPr>
          <w:p w14:paraId="1C4DABA4" w14:textId="77777777" w:rsidR="00DB15E9" w:rsidRDefault="0078312E">
            <w:pPr>
              <w:pStyle w:val="ESSPTableText"/>
            </w:pPr>
            <w:r>
              <w:t>2.17E-10</w:t>
            </w:r>
          </w:p>
        </w:tc>
        <w:tc>
          <w:tcPr>
            <w:tcW w:w="2394" w:type="dxa"/>
          </w:tcPr>
          <w:p w14:paraId="6ABE611B" w14:textId="77777777" w:rsidR="00DB15E9" w:rsidRDefault="0078312E">
            <w:pPr>
              <w:pStyle w:val="ESSPTableText"/>
            </w:pPr>
            <w:r>
              <w:t>1.72E-10</w:t>
            </w:r>
          </w:p>
        </w:tc>
      </w:tr>
    </w:tbl>
    <w:p w14:paraId="32F5B715" w14:textId="77777777" w:rsidR="00DB15E9" w:rsidRDefault="0078312E">
      <w:pPr>
        <w:pStyle w:val="ESSPBodyText"/>
      </w:pPr>
      <w:r>
        <w:rPr>
          <w:noProof/>
        </w:rPr>
        <w:lastRenderedPageBreak/>
        <w:drawing>
          <wp:inline distT="0" distB="0" distL="0" distR="0" wp14:anchorId="77B01F9F" wp14:editId="3ABA0A4D">
            <wp:extent cx="5641675" cy="4095273"/>
            <wp:effectExtent l="0" t="0" r="0" b="63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509" cy="4096604"/>
                    </a:xfrm>
                    <a:prstGeom prst="rect">
                      <a:avLst/>
                    </a:prstGeom>
                    <a:noFill/>
                    <a:ln>
                      <a:noFill/>
                    </a:ln>
                  </pic:spPr>
                </pic:pic>
              </a:graphicData>
            </a:graphic>
          </wp:inline>
        </w:drawing>
      </w:r>
    </w:p>
    <w:p w14:paraId="177D7C7E" w14:textId="77777777" w:rsidR="00DB15E9" w:rsidRDefault="0078312E">
      <w:pPr>
        <w:pStyle w:val="ESSPFigureCaption"/>
        <w:rPr>
          <w:rFonts w:ascii="Helvetica" w:hAnsi="Helvetica"/>
        </w:rPr>
      </w:pPr>
      <w:bookmarkStart w:id="355" w:name="_Toc471971598"/>
      <w:r>
        <w:rPr>
          <w:rFonts w:ascii="Helvetica" w:hAnsi="Helvetica"/>
        </w:rPr>
        <w:t xml:space="preserve">Figure </w:t>
      </w:r>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7</w:t>
      </w:r>
      <w:r>
        <w:rPr>
          <w:rFonts w:ascii="Helvetica" w:hAnsi="Helvetica"/>
        </w:rPr>
        <w:fldChar w:fldCharType="end"/>
      </w:r>
      <w:r>
        <w:rPr>
          <w:rFonts w:ascii="Helvetica" w:hAnsi="Helvetica"/>
        </w:rPr>
        <w:t>: Worst-case Micrometeoroid Environment</w:t>
      </w:r>
      <w:bookmarkEnd w:id="355"/>
    </w:p>
    <w:p w14:paraId="441DBBC6" w14:textId="77777777" w:rsidR="00DB15E9" w:rsidRDefault="0078312E">
      <w:pPr>
        <w:pStyle w:val="Heading4"/>
      </w:pPr>
      <w:bookmarkStart w:id="356" w:name="_Toc471910911"/>
      <w:r>
        <w:t>Artificial Space Debris</w:t>
      </w:r>
      <w:bookmarkEnd w:id="356"/>
    </w:p>
    <w:p w14:paraId="43B97824" w14:textId="77777777" w:rsidR="00DB15E9" w:rsidRDefault="0078312E">
      <w:pPr>
        <w:pStyle w:val="Requirement"/>
      </w:pPr>
      <w:r>
        <w:t>The Instrument Developer should perform a probability analysis to determine the type and amount of shielding to mitigate the fluence of artificial space debris in the expected mission orbit over the primary mission.</w:t>
      </w:r>
    </w:p>
    <w:p w14:paraId="3D42D56B" w14:textId="77777777" w:rsidR="00DB15E9" w:rsidRDefault="0078312E">
      <w:pPr>
        <w:pStyle w:val="ESSPBodyText"/>
      </w:pPr>
      <w:r>
        <w:rPr>
          <w:rStyle w:val="ESSPBodyTextChar"/>
        </w:rPr>
        <w:fldChar w:fldCharType="begin"/>
      </w:r>
      <w:r>
        <w:rPr>
          <w:rStyle w:val="ESSPBodyTextChar"/>
        </w:rPr>
        <w:instrText xml:space="preserve"> REF _Ref211673214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Table 3</w:t>
      </w:r>
      <w:r>
        <w:rPr>
          <w:rStyle w:val="ESSPBodyTextChar"/>
        </w:rPr>
        <w:noBreakHyphen/>
        <w:t>13</w:t>
      </w:r>
      <w:r>
        <w:rPr>
          <w:rStyle w:val="ESSPBodyTextChar"/>
        </w:rPr>
        <w:fldChar w:fldCharType="end"/>
      </w:r>
      <w:r>
        <w:t xml:space="preserve"> and </w:t>
      </w:r>
      <w:r>
        <w:rPr>
          <w:rStyle w:val="ESSPBodyTextChar"/>
        </w:rPr>
        <w:fldChar w:fldCharType="begin"/>
      </w:r>
      <w:r>
        <w:rPr>
          <w:rStyle w:val="ESSPBodyTextChar"/>
        </w:rPr>
        <w:instrText xml:space="preserve"> REF _Ref211674843 \h \* </w:instrText>
      </w:r>
      <w:r>
        <w:instrText>Charformat</w:instrText>
      </w:r>
      <w:r>
        <w:rPr>
          <w:rStyle w:val="ESSPBodyTextChar"/>
        </w:rPr>
        <w:instrText xml:space="preserve"> </w:instrText>
      </w:r>
      <w:r>
        <w:rPr>
          <w:rStyle w:val="ESSPBodyTextChar"/>
        </w:rPr>
      </w:r>
      <w:r>
        <w:rPr>
          <w:rStyle w:val="ESSPBodyTextChar"/>
        </w:rPr>
        <w:fldChar w:fldCharType="separate"/>
      </w:r>
      <w:r>
        <w:rPr>
          <w:rStyle w:val="ESSPBodyTextChar"/>
        </w:rPr>
        <w:t>Figure 3</w:t>
      </w:r>
      <w:r>
        <w:rPr>
          <w:rStyle w:val="ESSPBodyTextChar"/>
        </w:rPr>
        <w:noBreakHyphen/>
        <w:t>8</w:t>
      </w:r>
      <w:r>
        <w:rPr>
          <w:rStyle w:val="ESSPBodyTextChar"/>
        </w:rPr>
        <w:fldChar w:fldCharType="end"/>
      </w:r>
      <w:r>
        <w:t xml:space="preserve"> provide conservative artificial space debris flux environments for GEO.</w:t>
      </w:r>
    </w:p>
    <w:p w14:paraId="480249A1" w14:textId="77777777" w:rsidR="00DB15E9" w:rsidRDefault="0078312E">
      <w:pPr>
        <w:tabs>
          <w:tab w:val="clear" w:pos="1440"/>
          <w:tab w:val="clear" w:pos="4140"/>
          <w:tab w:val="clear" w:pos="7920"/>
        </w:tabs>
        <w:spacing w:after="0"/>
        <w:rPr>
          <w:rFonts w:ascii="Helvetica" w:hAnsi="Helvetica"/>
          <w:b/>
          <w:bCs/>
          <w:sz w:val="22"/>
          <w:szCs w:val="20"/>
        </w:rPr>
      </w:pPr>
      <w:bookmarkStart w:id="357" w:name="_Ref211673214"/>
      <w:bookmarkStart w:id="358" w:name="_Toc453056576"/>
      <w:r>
        <w:br w:type="page"/>
      </w:r>
    </w:p>
    <w:p w14:paraId="1ACF8493" w14:textId="77777777" w:rsidR="00DB15E9" w:rsidRDefault="0078312E">
      <w:pPr>
        <w:pStyle w:val="ESSPTableCaption"/>
      </w:pPr>
      <w:bookmarkStart w:id="359" w:name="_Toc471971573"/>
      <w:r>
        <w:lastRenderedPageBreak/>
        <w:t xml:space="preserve">Table </w:t>
      </w:r>
      <w:r w:rsidR="00BA5284">
        <w:fldChar w:fldCharType="begin"/>
      </w:r>
      <w:r w:rsidR="00BA5284">
        <w:instrText xml:space="preserve"> STYLEREF 1 \s </w:instrText>
      </w:r>
      <w:r w:rsidR="00BA5284">
        <w:fldChar w:fldCharType="separate"/>
      </w:r>
      <w:r>
        <w:rPr>
          <w:noProof/>
        </w:rPr>
        <w:t>3</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13</w:t>
      </w:r>
      <w:r w:rsidR="00BA5284">
        <w:rPr>
          <w:noProof/>
        </w:rPr>
        <w:fldChar w:fldCharType="end"/>
      </w:r>
      <w:bookmarkEnd w:id="357"/>
      <w:r>
        <w:t>: [GEO] Worst-case Artificial Space Debris Environment</w:t>
      </w:r>
      <w:bookmarkEnd w:id="358"/>
      <w:bookmarkEnd w:id="359"/>
    </w:p>
    <w:tbl>
      <w:tblPr>
        <w:tblStyle w:val="TableGrid8"/>
        <w:tblW w:w="9576" w:type="dxa"/>
        <w:tblLayout w:type="fixed"/>
        <w:tblLook w:val="04A0" w:firstRow="1" w:lastRow="0" w:firstColumn="1" w:lastColumn="0" w:noHBand="0" w:noVBand="1"/>
      </w:tblPr>
      <w:tblGrid>
        <w:gridCol w:w="1458"/>
        <w:gridCol w:w="1734"/>
        <w:gridCol w:w="1506"/>
        <w:gridCol w:w="1686"/>
        <w:gridCol w:w="1464"/>
        <w:gridCol w:w="1728"/>
      </w:tblGrid>
      <w:tr w:rsidR="00DB15E9" w14:paraId="3989D3EA" w14:textId="77777777" w:rsidTr="00DB15E9">
        <w:trPr>
          <w:cnfStyle w:val="100000000000" w:firstRow="1" w:lastRow="0" w:firstColumn="0" w:lastColumn="0" w:oddVBand="0" w:evenVBand="0" w:oddHBand="0" w:evenHBand="0" w:firstRowFirstColumn="0" w:firstRowLastColumn="0" w:lastRowFirstColumn="0" w:lastRowLastColumn="0"/>
        </w:trPr>
        <w:tc>
          <w:tcPr>
            <w:tcW w:w="1458" w:type="dxa"/>
            <w:tcBorders>
              <w:left w:val="single" w:sz="18" w:space="0" w:color="auto"/>
            </w:tcBorders>
          </w:tcPr>
          <w:p w14:paraId="261DC223" w14:textId="77777777" w:rsidR="00DB15E9" w:rsidRDefault="0078312E">
            <w:pPr>
              <w:pStyle w:val="ESSPFigureCaption"/>
              <w:tabs>
                <w:tab w:val="clear" w:pos="1440"/>
                <w:tab w:val="clear" w:pos="4140"/>
                <w:tab w:val="clear" w:pos="7920"/>
              </w:tabs>
              <w:spacing w:before="0" w:after="0"/>
              <w:rPr>
                <w:rFonts w:ascii="Helvetica" w:hAnsi="Helvetica"/>
                <w:b/>
                <w:sz w:val="18"/>
                <w:szCs w:val="18"/>
              </w:rPr>
            </w:pPr>
            <w:r>
              <w:rPr>
                <w:rFonts w:ascii="Helvetica" w:hAnsi="Helvetica"/>
                <w:b/>
                <w:sz w:val="18"/>
                <w:szCs w:val="18"/>
              </w:rPr>
              <w:t xml:space="preserve">Object Diameter [m] </w:t>
            </w:r>
          </w:p>
        </w:tc>
        <w:tc>
          <w:tcPr>
            <w:tcW w:w="1734" w:type="dxa"/>
            <w:tcBorders>
              <w:right w:val="double" w:sz="4" w:space="0" w:color="auto"/>
            </w:tcBorders>
          </w:tcPr>
          <w:p w14:paraId="5EAD7E2C" w14:textId="77777777" w:rsidR="00DB15E9" w:rsidRDefault="0078312E">
            <w:pPr>
              <w:pStyle w:val="ESSPFigureCaption"/>
              <w:tabs>
                <w:tab w:val="clear" w:pos="1440"/>
                <w:tab w:val="clear" w:pos="4140"/>
                <w:tab w:val="clear" w:pos="7920"/>
              </w:tabs>
              <w:spacing w:before="0" w:after="0"/>
              <w:rPr>
                <w:rFonts w:ascii="Helvetica" w:hAnsi="Helvetica"/>
                <w:b/>
                <w:sz w:val="18"/>
                <w:szCs w:val="18"/>
              </w:rPr>
            </w:pPr>
            <w:r>
              <w:rPr>
                <w:rFonts w:ascii="Helvetica" w:hAnsi="Helvetica"/>
                <w:b/>
                <w:sz w:val="18"/>
                <w:szCs w:val="18"/>
              </w:rPr>
              <w:t>Flux [objects/m</w:t>
            </w:r>
            <w:r>
              <w:rPr>
                <w:rFonts w:ascii="Helvetica" w:hAnsi="Helvetica"/>
                <w:b/>
                <w:sz w:val="18"/>
                <w:szCs w:val="18"/>
                <w:vertAlign w:val="superscript"/>
              </w:rPr>
              <w:t>2</w:t>
            </w:r>
            <w:r>
              <w:rPr>
                <w:rFonts w:ascii="Helvetica" w:hAnsi="Helvetica"/>
                <w:b/>
                <w:sz w:val="18"/>
                <w:szCs w:val="18"/>
              </w:rPr>
              <w:t>/year]</w:t>
            </w:r>
          </w:p>
        </w:tc>
        <w:tc>
          <w:tcPr>
            <w:tcW w:w="1506" w:type="dxa"/>
            <w:tcBorders>
              <w:left w:val="double" w:sz="4" w:space="0" w:color="auto"/>
            </w:tcBorders>
          </w:tcPr>
          <w:p w14:paraId="40CE466F" w14:textId="77777777" w:rsidR="00DB15E9" w:rsidRDefault="0078312E">
            <w:pPr>
              <w:pStyle w:val="ESSPFigureCaption"/>
              <w:tabs>
                <w:tab w:val="clear" w:pos="1440"/>
                <w:tab w:val="clear" w:pos="4140"/>
                <w:tab w:val="clear" w:pos="7920"/>
              </w:tabs>
              <w:spacing w:before="0" w:after="0"/>
              <w:rPr>
                <w:rFonts w:ascii="Helvetica" w:hAnsi="Helvetica"/>
                <w:b/>
                <w:sz w:val="18"/>
                <w:szCs w:val="18"/>
              </w:rPr>
            </w:pPr>
            <w:r>
              <w:rPr>
                <w:rFonts w:ascii="Helvetica" w:hAnsi="Helvetica"/>
                <w:b/>
                <w:sz w:val="18"/>
                <w:szCs w:val="18"/>
              </w:rPr>
              <w:t xml:space="preserve">Object Diameter [m] </w:t>
            </w:r>
          </w:p>
        </w:tc>
        <w:tc>
          <w:tcPr>
            <w:tcW w:w="1686" w:type="dxa"/>
            <w:tcBorders>
              <w:right w:val="double" w:sz="4" w:space="0" w:color="auto"/>
            </w:tcBorders>
          </w:tcPr>
          <w:p w14:paraId="4470F21B" w14:textId="77777777" w:rsidR="00DB15E9" w:rsidRDefault="0078312E">
            <w:pPr>
              <w:pStyle w:val="ESSPFigureCaption"/>
              <w:tabs>
                <w:tab w:val="clear" w:pos="1440"/>
                <w:tab w:val="clear" w:pos="4140"/>
                <w:tab w:val="clear" w:pos="7920"/>
              </w:tabs>
              <w:spacing w:before="0" w:after="0"/>
              <w:rPr>
                <w:rFonts w:ascii="Helvetica" w:hAnsi="Helvetica"/>
                <w:b/>
                <w:sz w:val="18"/>
                <w:szCs w:val="18"/>
              </w:rPr>
            </w:pPr>
            <w:r>
              <w:rPr>
                <w:rFonts w:ascii="Helvetica" w:hAnsi="Helvetica"/>
                <w:b/>
                <w:sz w:val="18"/>
                <w:szCs w:val="18"/>
              </w:rPr>
              <w:t>Flux [objects/m</w:t>
            </w:r>
            <w:r>
              <w:rPr>
                <w:rFonts w:ascii="Helvetica" w:hAnsi="Helvetica"/>
                <w:b/>
                <w:sz w:val="18"/>
                <w:szCs w:val="18"/>
                <w:vertAlign w:val="superscript"/>
              </w:rPr>
              <w:t>2</w:t>
            </w:r>
            <w:r>
              <w:rPr>
                <w:rFonts w:ascii="Helvetica" w:hAnsi="Helvetica"/>
                <w:b/>
                <w:sz w:val="18"/>
                <w:szCs w:val="18"/>
              </w:rPr>
              <w:t>/year]</w:t>
            </w:r>
          </w:p>
        </w:tc>
        <w:tc>
          <w:tcPr>
            <w:tcW w:w="1464" w:type="dxa"/>
            <w:tcBorders>
              <w:left w:val="double" w:sz="4" w:space="0" w:color="auto"/>
            </w:tcBorders>
          </w:tcPr>
          <w:p w14:paraId="3C04D139" w14:textId="77777777" w:rsidR="00DB15E9" w:rsidRDefault="0078312E">
            <w:pPr>
              <w:pStyle w:val="ESSPFigureCaption"/>
              <w:tabs>
                <w:tab w:val="clear" w:pos="1440"/>
                <w:tab w:val="clear" w:pos="4140"/>
                <w:tab w:val="clear" w:pos="7920"/>
              </w:tabs>
              <w:spacing w:before="0" w:after="0"/>
              <w:rPr>
                <w:rFonts w:ascii="Helvetica" w:hAnsi="Helvetica"/>
                <w:b/>
                <w:sz w:val="18"/>
                <w:szCs w:val="18"/>
              </w:rPr>
            </w:pPr>
            <w:r>
              <w:rPr>
                <w:rFonts w:ascii="Helvetica" w:hAnsi="Helvetica"/>
                <w:b/>
                <w:sz w:val="18"/>
                <w:szCs w:val="18"/>
              </w:rPr>
              <w:t xml:space="preserve">Object Diameter [m] </w:t>
            </w:r>
          </w:p>
        </w:tc>
        <w:tc>
          <w:tcPr>
            <w:tcW w:w="1728" w:type="dxa"/>
            <w:tcBorders>
              <w:right w:val="single" w:sz="18" w:space="0" w:color="auto"/>
            </w:tcBorders>
          </w:tcPr>
          <w:p w14:paraId="1FDB4243" w14:textId="77777777" w:rsidR="00DB15E9" w:rsidRDefault="0078312E">
            <w:pPr>
              <w:pStyle w:val="ESSPFigureCaption"/>
              <w:tabs>
                <w:tab w:val="clear" w:pos="1440"/>
                <w:tab w:val="clear" w:pos="4140"/>
                <w:tab w:val="clear" w:pos="7920"/>
              </w:tabs>
              <w:spacing w:before="0" w:after="0"/>
              <w:rPr>
                <w:b/>
                <w:sz w:val="18"/>
                <w:szCs w:val="18"/>
              </w:rPr>
            </w:pPr>
            <w:r>
              <w:rPr>
                <w:rFonts w:ascii="Helvetica" w:hAnsi="Helvetica"/>
                <w:b/>
                <w:sz w:val="18"/>
                <w:szCs w:val="18"/>
              </w:rPr>
              <w:t>Flux [objects/m</w:t>
            </w:r>
            <w:r>
              <w:rPr>
                <w:rFonts w:ascii="Helvetica" w:hAnsi="Helvetica"/>
                <w:b/>
                <w:sz w:val="18"/>
                <w:szCs w:val="18"/>
                <w:vertAlign w:val="superscript"/>
              </w:rPr>
              <w:t>2</w:t>
            </w:r>
            <w:r>
              <w:rPr>
                <w:rFonts w:ascii="Helvetica" w:hAnsi="Helvetica"/>
                <w:b/>
                <w:sz w:val="18"/>
                <w:szCs w:val="18"/>
              </w:rPr>
              <w:t>/year]</w:t>
            </w:r>
          </w:p>
        </w:tc>
      </w:tr>
      <w:tr w:rsidR="00DB15E9" w14:paraId="6AB85EEA" w14:textId="77777777" w:rsidTr="00DB15E9">
        <w:tc>
          <w:tcPr>
            <w:tcW w:w="1458" w:type="dxa"/>
            <w:tcBorders>
              <w:left w:val="single" w:sz="18" w:space="0" w:color="auto"/>
            </w:tcBorders>
          </w:tcPr>
          <w:p w14:paraId="77938E1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1.00000E-03</w:t>
            </w:r>
          </w:p>
        </w:tc>
        <w:tc>
          <w:tcPr>
            <w:tcW w:w="1734" w:type="dxa"/>
            <w:tcBorders>
              <w:right w:val="double" w:sz="4" w:space="0" w:color="auto"/>
            </w:tcBorders>
          </w:tcPr>
          <w:p w14:paraId="72BF49F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2.08800E-05</w:t>
            </w:r>
          </w:p>
        </w:tc>
        <w:tc>
          <w:tcPr>
            <w:tcW w:w="1506" w:type="dxa"/>
            <w:tcBorders>
              <w:left w:val="double" w:sz="4" w:space="0" w:color="auto"/>
            </w:tcBorders>
          </w:tcPr>
          <w:p w14:paraId="2F8596B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2.06200E-02</w:t>
            </w:r>
          </w:p>
        </w:tc>
        <w:tc>
          <w:tcPr>
            <w:tcW w:w="1686" w:type="dxa"/>
            <w:tcBorders>
              <w:right w:val="double" w:sz="4" w:space="0" w:color="auto"/>
            </w:tcBorders>
          </w:tcPr>
          <w:p w14:paraId="32F3F2C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1.56300E-08</w:t>
            </w:r>
          </w:p>
        </w:tc>
        <w:tc>
          <w:tcPr>
            <w:tcW w:w="1464" w:type="dxa"/>
            <w:tcBorders>
              <w:left w:val="double" w:sz="4" w:space="0" w:color="auto"/>
            </w:tcBorders>
          </w:tcPr>
          <w:p w14:paraId="53B57F4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4.25179E-01</w:t>
            </w:r>
          </w:p>
        </w:tc>
        <w:tc>
          <w:tcPr>
            <w:tcW w:w="1728" w:type="dxa"/>
            <w:tcBorders>
              <w:right w:val="single" w:sz="18" w:space="0" w:color="auto"/>
            </w:tcBorders>
          </w:tcPr>
          <w:p w14:paraId="74E0AF77"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3.93000E-09</w:t>
            </w:r>
          </w:p>
        </w:tc>
      </w:tr>
      <w:tr w:rsidR="00DB15E9" w14:paraId="45043647" w14:textId="77777777" w:rsidTr="00DB15E9">
        <w:tc>
          <w:tcPr>
            <w:tcW w:w="1458" w:type="dxa"/>
            <w:tcBorders>
              <w:left w:val="single" w:sz="18" w:space="0" w:color="auto"/>
            </w:tcBorders>
          </w:tcPr>
          <w:p w14:paraId="3E1E2C6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1.14100E-03</w:t>
            </w:r>
          </w:p>
        </w:tc>
        <w:tc>
          <w:tcPr>
            <w:tcW w:w="1734" w:type="dxa"/>
            <w:tcBorders>
              <w:right w:val="double" w:sz="4" w:space="0" w:color="auto"/>
            </w:tcBorders>
          </w:tcPr>
          <w:p w14:paraId="269AF6E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1.58800E-05</w:t>
            </w:r>
          </w:p>
        </w:tc>
        <w:tc>
          <w:tcPr>
            <w:tcW w:w="1506" w:type="dxa"/>
            <w:tcBorders>
              <w:left w:val="double" w:sz="4" w:space="0" w:color="auto"/>
            </w:tcBorders>
          </w:tcPr>
          <w:p w14:paraId="21FF340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2.35200E-02</w:t>
            </w:r>
          </w:p>
        </w:tc>
        <w:tc>
          <w:tcPr>
            <w:tcW w:w="1686" w:type="dxa"/>
            <w:tcBorders>
              <w:right w:val="double" w:sz="4" w:space="0" w:color="auto"/>
            </w:tcBorders>
          </w:tcPr>
          <w:p w14:paraId="567B627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1.40200E-08</w:t>
            </w:r>
          </w:p>
        </w:tc>
        <w:tc>
          <w:tcPr>
            <w:tcW w:w="1464" w:type="dxa"/>
            <w:tcBorders>
              <w:left w:val="double" w:sz="4" w:space="0" w:color="auto"/>
            </w:tcBorders>
          </w:tcPr>
          <w:p w14:paraId="567CF6A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4.84969E-01</w:t>
            </w:r>
          </w:p>
        </w:tc>
        <w:tc>
          <w:tcPr>
            <w:tcW w:w="1728" w:type="dxa"/>
            <w:tcBorders>
              <w:right w:val="single" w:sz="18" w:space="0" w:color="auto"/>
            </w:tcBorders>
          </w:tcPr>
          <w:p w14:paraId="130F1779"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3.89700E-09</w:t>
            </w:r>
          </w:p>
        </w:tc>
      </w:tr>
      <w:tr w:rsidR="00DB15E9" w14:paraId="2B811797" w14:textId="77777777" w:rsidTr="00DB15E9">
        <w:tc>
          <w:tcPr>
            <w:tcW w:w="1458" w:type="dxa"/>
            <w:tcBorders>
              <w:left w:val="single" w:sz="18" w:space="0" w:color="auto"/>
            </w:tcBorders>
          </w:tcPr>
          <w:p w14:paraId="4DA319E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1.30100E-03</w:t>
            </w:r>
          </w:p>
        </w:tc>
        <w:tc>
          <w:tcPr>
            <w:tcW w:w="1734" w:type="dxa"/>
            <w:tcBorders>
              <w:right w:val="double" w:sz="4" w:space="0" w:color="auto"/>
            </w:tcBorders>
          </w:tcPr>
          <w:p w14:paraId="0525CA8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9.74700E-06</w:t>
            </w:r>
          </w:p>
        </w:tc>
        <w:tc>
          <w:tcPr>
            <w:tcW w:w="1506" w:type="dxa"/>
            <w:tcBorders>
              <w:left w:val="double" w:sz="4" w:space="0" w:color="auto"/>
            </w:tcBorders>
          </w:tcPr>
          <w:p w14:paraId="15D6559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2.68270E-02</w:t>
            </w:r>
          </w:p>
        </w:tc>
        <w:tc>
          <w:tcPr>
            <w:tcW w:w="1686" w:type="dxa"/>
            <w:tcBorders>
              <w:right w:val="double" w:sz="4" w:space="0" w:color="auto"/>
            </w:tcBorders>
          </w:tcPr>
          <w:p w14:paraId="5A9E211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1.13500E-08</w:t>
            </w:r>
          </w:p>
        </w:tc>
        <w:tc>
          <w:tcPr>
            <w:tcW w:w="1464" w:type="dxa"/>
            <w:tcBorders>
              <w:left w:val="double" w:sz="4" w:space="0" w:color="auto"/>
            </w:tcBorders>
          </w:tcPr>
          <w:p w14:paraId="7F68B27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5.53168E-01</w:t>
            </w:r>
          </w:p>
        </w:tc>
        <w:tc>
          <w:tcPr>
            <w:tcW w:w="1728" w:type="dxa"/>
            <w:tcBorders>
              <w:right w:val="single" w:sz="18" w:space="0" w:color="auto"/>
            </w:tcBorders>
          </w:tcPr>
          <w:p w14:paraId="6E937F21"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3.85700E-09</w:t>
            </w:r>
          </w:p>
        </w:tc>
      </w:tr>
      <w:tr w:rsidR="00DB15E9" w14:paraId="0F9B671F" w14:textId="77777777" w:rsidTr="00DB15E9">
        <w:tc>
          <w:tcPr>
            <w:tcW w:w="1458" w:type="dxa"/>
            <w:tcBorders>
              <w:left w:val="single" w:sz="18" w:space="0" w:color="auto"/>
            </w:tcBorders>
          </w:tcPr>
          <w:p w14:paraId="1272C66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1.48400E-03</w:t>
            </w:r>
          </w:p>
        </w:tc>
        <w:tc>
          <w:tcPr>
            <w:tcW w:w="1734" w:type="dxa"/>
            <w:tcBorders>
              <w:right w:val="double" w:sz="4" w:space="0" w:color="auto"/>
            </w:tcBorders>
          </w:tcPr>
          <w:p w14:paraId="583279B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6.06200E-06</w:t>
            </w:r>
          </w:p>
        </w:tc>
        <w:tc>
          <w:tcPr>
            <w:tcW w:w="1506" w:type="dxa"/>
            <w:tcBorders>
              <w:left w:val="double" w:sz="4" w:space="0" w:color="auto"/>
            </w:tcBorders>
          </w:tcPr>
          <w:p w14:paraId="23745DF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3.05990E-02</w:t>
            </w:r>
          </w:p>
        </w:tc>
        <w:tc>
          <w:tcPr>
            <w:tcW w:w="1686" w:type="dxa"/>
            <w:tcBorders>
              <w:right w:val="double" w:sz="4" w:space="0" w:color="auto"/>
            </w:tcBorders>
          </w:tcPr>
          <w:p w14:paraId="42448EB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1.02900E-08</w:t>
            </w:r>
          </w:p>
        </w:tc>
        <w:tc>
          <w:tcPr>
            <w:tcW w:w="1464" w:type="dxa"/>
            <w:tcBorders>
              <w:left w:val="double" w:sz="4" w:space="0" w:color="auto"/>
            </w:tcBorders>
          </w:tcPr>
          <w:p w14:paraId="5B23C3BE"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6.30957E-01</w:t>
            </w:r>
          </w:p>
        </w:tc>
        <w:tc>
          <w:tcPr>
            <w:tcW w:w="1728" w:type="dxa"/>
            <w:tcBorders>
              <w:right w:val="single" w:sz="18" w:space="0" w:color="auto"/>
            </w:tcBorders>
          </w:tcPr>
          <w:p w14:paraId="061931E2"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3.83000E-09</w:t>
            </w:r>
          </w:p>
        </w:tc>
      </w:tr>
      <w:tr w:rsidR="00DB15E9" w14:paraId="7ED99CC7" w14:textId="77777777" w:rsidTr="00DB15E9">
        <w:tc>
          <w:tcPr>
            <w:tcW w:w="1458" w:type="dxa"/>
            <w:tcBorders>
              <w:left w:val="single" w:sz="18" w:space="0" w:color="auto"/>
            </w:tcBorders>
          </w:tcPr>
          <w:p w14:paraId="57CFD6B1"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1.69300E-03</w:t>
            </w:r>
          </w:p>
        </w:tc>
        <w:tc>
          <w:tcPr>
            <w:tcW w:w="1734" w:type="dxa"/>
            <w:tcBorders>
              <w:right w:val="double" w:sz="4" w:space="0" w:color="auto"/>
            </w:tcBorders>
          </w:tcPr>
          <w:p w14:paraId="5B6C3A9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4.70300E-06</w:t>
            </w:r>
          </w:p>
        </w:tc>
        <w:tc>
          <w:tcPr>
            <w:tcW w:w="1506" w:type="dxa"/>
            <w:tcBorders>
              <w:left w:val="double" w:sz="4" w:space="0" w:color="auto"/>
            </w:tcBorders>
          </w:tcPr>
          <w:p w14:paraId="62116B9B"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3.49030E-02</w:t>
            </w:r>
          </w:p>
        </w:tc>
        <w:tc>
          <w:tcPr>
            <w:tcW w:w="1686" w:type="dxa"/>
            <w:tcBorders>
              <w:right w:val="double" w:sz="4" w:space="0" w:color="auto"/>
            </w:tcBorders>
          </w:tcPr>
          <w:p w14:paraId="5159F99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9.74100E-09</w:t>
            </w:r>
          </w:p>
        </w:tc>
        <w:tc>
          <w:tcPr>
            <w:tcW w:w="1464" w:type="dxa"/>
            <w:tcBorders>
              <w:left w:val="double" w:sz="4" w:space="0" w:color="auto"/>
            </w:tcBorders>
          </w:tcPr>
          <w:p w14:paraId="03C8FF5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7.19686E-01</w:t>
            </w:r>
          </w:p>
        </w:tc>
        <w:tc>
          <w:tcPr>
            <w:tcW w:w="1728" w:type="dxa"/>
            <w:tcBorders>
              <w:right w:val="single" w:sz="18" w:space="0" w:color="auto"/>
            </w:tcBorders>
          </w:tcPr>
          <w:p w14:paraId="50F9164E"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3.81700E-09</w:t>
            </w:r>
          </w:p>
        </w:tc>
      </w:tr>
      <w:tr w:rsidR="00DB15E9" w14:paraId="2278686E" w14:textId="77777777" w:rsidTr="00DB15E9">
        <w:tc>
          <w:tcPr>
            <w:tcW w:w="1458" w:type="dxa"/>
            <w:tcBorders>
              <w:left w:val="single" w:sz="18" w:space="0" w:color="auto"/>
            </w:tcBorders>
          </w:tcPr>
          <w:p w14:paraId="7D60747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1.93100E-03</w:t>
            </w:r>
          </w:p>
        </w:tc>
        <w:tc>
          <w:tcPr>
            <w:tcW w:w="1734" w:type="dxa"/>
            <w:tcBorders>
              <w:right w:val="double" w:sz="4" w:space="0" w:color="auto"/>
            </w:tcBorders>
          </w:tcPr>
          <w:p w14:paraId="7860713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3.38900E-06</w:t>
            </w:r>
          </w:p>
        </w:tc>
        <w:tc>
          <w:tcPr>
            <w:tcW w:w="1506" w:type="dxa"/>
            <w:tcBorders>
              <w:left w:val="double" w:sz="4" w:space="0" w:color="auto"/>
            </w:tcBorders>
          </w:tcPr>
          <w:p w14:paraId="26E4143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3.98110E-02</w:t>
            </w:r>
          </w:p>
        </w:tc>
        <w:tc>
          <w:tcPr>
            <w:tcW w:w="1686" w:type="dxa"/>
            <w:tcBorders>
              <w:right w:val="double" w:sz="4" w:space="0" w:color="auto"/>
            </w:tcBorders>
          </w:tcPr>
          <w:p w14:paraId="16E73AC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8.92500E-09</w:t>
            </w:r>
          </w:p>
        </w:tc>
        <w:tc>
          <w:tcPr>
            <w:tcW w:w="1464" w:type="dxa"/>
            <w:tcBorders>
              <w:left w:val="double" w:sz="4" w:space="0" w:color="auto"/>
            </w:tcBorders>
          </w:tcPr>
          <w:p w14:paraId="3FC58BE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8.20891E-01</w:t>
            </w:r>
          </w:p>
        </w:tc>
        <w:tc>
          <w:tcPr>
            <w:tcW w:w="1728" w:type="dxa"/>
            <w:tcBorders>
              <w:right w:val="single" w:sz="18" w:space="0" w:color="auto"/>
            </w:tcBorders>
          </w:tcPr>
          <w:p w14:paraId="1894E095"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3.76600E-09</w:t>
            </w:r>
          </w:p>
        </w:tc>
      </w:tr>
      <w:tr w:rsidR="00DB15E9" w14:paraId="29321735" w14:textId="77777777" w:rsidTr="00DB15E9">
        <w:tc>
          <w:tcPr>
            <w:tcW w:w="1458" w:type="dxa"/>
            <w:tcBorders>
              <w:left w:val="single" w:sz="18" w:space="0" w:color="auto"/>
            </w:tcBorders>
          </w:tcPr>
          <w:p w14:paraId="004B159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2.20200E-03</w:t>
            </w:r>
          </w:p>
        </w:tc>
        <w:tc>
          <w:tcPr>
            <w:tcW w:w="1734" w:type="dxa"/>
            <w:tcBorders>
              <w:right w:val="double" w:sz="4" w:space="0" w:color="auto"/>
            </w:tcBorders>
          </w:tcPr>
          <w:p w14:paraId="5B86E15E"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2.32700E-06</w:t>
            </w:r>
          </w:p>
        </w:tc>
        <w:tc>
          <w:tcPr>
            <w:tcW w:w="1506" w:type="dxa"/>
            <w:tcBorders>
              <w:left w:val="double" w:sz="4" w:space="0" w:color="auto"/>
            </w:tcBorders>
          </w:tcPr>
          <w:p w14:paraId="6080CBD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4.54090E-02</w:t>
            </w:r>
          </w:p>
        </w:tc>
        <w:tc>
          <w:tcPr>
            <w:tcW w:w="1686" w:type="dxa"/>
            <w:tcBorders>
              <w:right w:val="double" w:sz="4" w:space="0" w:color="auto"/>
            </w:tcBorders>
          </w:tcPr>
          <w:p w14:paraId="481990B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8.07400E-09</w:t>
            </w:r>
          </w:p>
        </w:tc>
        <w:tc>
          <w:tcPr>
            <w:tcW w:w="1464" w:type="dxa"/>
            <w:tcBorders>
              <w:left w:val="double" w:sz="4" w:space="0" w:color="auto"/>
            </w:tcBorders>
          </w:tcPr>
          <w:p w14:paraId="17D07AA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9.36329E-01</w:t>
            </w:r>
          </w:p>
        </w:tc>
        <w:tc>
          <w:tcPr>
            <w:tcW w:w="1728" w:type="dxa"/>
            <w:tcBorders>
              <w:right w:val="single" w:sz="18" w:space="0" w:color="auto"/>
            </w:tcBorders>
          </w:tcPr>
          <w:p w14:paraId="33FDC317"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3.75200E-09</w:t>
            </w:r>
          </w:p>
        </w:tc>
      </w:tr>
      <w:tr w:rsidR="00DB15E9" w14:paraId="78564270" w14:textId="77777777" w:rsidTr="00DB15E9">
        <w:tc>
          <w:tcPr>
            <w:tcW w:w="1458" w:type="dxa"/>
            <w:tcBorders>
              <w:left w:val="single" w:sz="18" w:space="0" w:color="auto"/>
            </w:tcBorders>
          </w:tcPr>
          <w:p w14:paraId="01B11B8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2.51200E-03</w:t>
            </w:r>
          </w:p>
        </w:tc>
        <w:tc>
          <w:tcPr>
            <w:tcW w:w="1734" w:type="dxa"/>
            <w:tcBorders>
              <w:right w:val="double" w:sz="4" w:space="0" w:color="auto"/>
            </w:tcBorders>
          </w:tcPr>
          <w:p w14:paraId="0279EAA1"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1.55700E-06</w:t>
            </w:r>
          </w:p>
        </w:tc>
        <w:tc>
          <w:tcPr>
            <w:tcW w:w="1506" w:type="dxa"/>
            <w:tcBorders>
              <w:left w:val="double" w:sz="4" w:space="0" w:color="auto"/>
            </w:tcBorders>
          </w:tcPr>
          <w:p w14:paraId="1A2ADB2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5.17950E-02</w:t>
            </w:r>
          </w:p>
        </w:tc>
        <w:tc>
          <w:tcPr>
            <w:tcW w:w="1686" w:type="dxa"/>
            <w:tcBorders>
              <w:right w:val="double" w:sz="4" w:space="0" w:color="auto"/>
            </w:tcBorders>
          </w:tcPr>
          <w:p w14:paraId="7925A47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7.06300E-09</w:t>
            </w:r>
          </w:p>
        </w:tc>
        <w:tc>
          <w:tcPr>
            <w:tcW w:w="1464" w:type="dxa"/>
            <w:tcBorders>
              <w:left w:val="double" w:sz="4" w:space="0" w:color="auto"/>
            </w:tcBorders>
          </w:tcPr>
          <w:p w14:paraId="3423BB9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1.06800E+00</w:t>
            </w:r>
          </w:p>
        </w:tc>
        <w:tc>
          <w:tcPr>
            <w:tcW w:w="1728" w:type="dxa"/>
            <w:tcBorders>
              <w:right w:val="single" w:sz="18" w:space="0" w:color="auto"/>
            </w:tcBorders>
          </w:tcPr>
          <w:p w14:paraId="59DFC35A"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3.73800E-09</w:t>
            </w:r>
          </w:p>
        </w:tc>
      </w:tr>
      <w:tr w:rsidR="00DB15E9" w14:paraId="1D0AF77C" w14:textId="77777777" w:rsidTr="00DB15E9">
        <w:tc>
          <w:tcPr>
            <w:tcW w:w="1458" w:type="dxa"/>
            <w:tcBorders>
              <w:left w:val="single" w:sz="18" w:space="0" w:color="auto"/>
            </w:tcBorders>
          </w:tcPr>
          <w:p w14:paraId="203FAE5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2.86500E-03</w:t>
            </w:r>
          </w:p>
        </w:tc>
        <w:tc>
          <w:tcPr>
            <w:tcW w:w="1734" w:type="dxa"/>
            <w:tcBorders>
              <w:right w:val="double" w:sz="4" w:space="0" w:color="auto"/>
            </w:tcBorders>
          </w:tcPr>
          <w:p w14:paraId="4610DA0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1.10200E-06</w:t>
            </w:r>
          </w:p>
        </w:tc>
        <w:tc>
          <w:tcPr>
            <w:tcW w:w="1506" w:type="dxa"/>
            <w:tcBorders>
              <w:left w:val="double" w:sz="4" w:space="0" w:color="auto"/>
            </w:tcBorders>
          </w:tcPr>
          <w:p w14:paraId="0F886FB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5.90780E-02</w:t>
            </w:r>
          </w:p>
        </w:tc>
        <w:tc>
          <w:tcPr>
            <w:tcW w:w="1686" w:type="dxa"/>
            <w:tcBorders>
              <w:right w:val="double" w:sz="4" w:space="0" w:color="auto"/>
            </w:tcBorders>
          </w:tcPr>
          <w:p w14:paraId="0032BC6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6.36200E-09</w:t>
            </w:r>
          </w:p>
        </w:tc>
        <w:tc>
          <w:tcPr>
            <w:tcW w:w="1464" w:type="dxa"/>
            <w:tcBorders>
              <w:left w:val="double" w:sz="4" w:space="0" w:color="auto"/>
            </w:tcBorders>
          </w:tcPr>
          <w:p w14:paraId="3571F3F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1.21819E+00</w:t>
            </w:r>
          </w:p>
        </w:tc>
        <w:tc>
          <w:tcPr>
            <w:tcW w:w="1728" w:type="dxa"/>
            <w:tcBorders>
              <w:right w:val="single" w:sz="18" w:space="0" w:color="auto"/>
            </w:tcBorders>
          </w:tcPr>
          <w:p w14:paraId="6FA80D16"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3.73800E-09</w:t>
            </w:r>
          </w:p>
        </w:tc>
      </w:tr>
      <w:tr w:rsidR="00DB15E9" w14:paraId="15404B74" w14:textId="77777777" w:rsidTr="00DB15E9">
        <w:tc>
          <w:tcPr>
            <w:tcW w:w="1458" w:type="dxa"/>
            <w:tcBorders>
              <w:left w:val="single" w:sz="18" w:space="0" w:color="auto"/>
            </w:tcBorders>
          </w:tcPr>
          <w:p w14:paraId="48C51881"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3.26800E-03</w:t>
            </w:r>
          </w:p>
        </w:tc>
        <w:tc>
          <w:tcPr>
            <w:tcW w:w="1734" w:type="dxa"/>
            <w:tcBorders>
              <w:right w:val="double" w:sz="4" w:space="0" w:color="auto"/>
            </w:tcBorders>
          </w:tcPr>
          <w:p w14:paraId="4C49D92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7.81600E-07</w:t>
            </w:r>
          </w:p>
        </w:tc>
        <w:tc>
          <w:tcPr>
            <w:tcW w:w="1506" w:type="dxa"/>
            <w:tcBorders>
              <w:left w:val="double" w:sz="4" w:space="0" w:color="auto"/>
            </w:tcBorders>
          </w:tcPr>
          <w:p w14:paraId="481C107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6.73860E-02</w:t>
            </w:r>
          </w:p>
        </w:tc>
        <w:tc>
          <w:tcPr>
            <w:tcW w:w="1686" w:type="dxa"/>
            <w:tcBorders>
              <w:right w:val="double" w:sz="4" w:space="0" w:color="auto"/>
            </w:tcBorders>
          </w:tcPr>
          <w:p w14:paraId="77B0B5F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5.88900E-09</w:t>
            </w:r>
          </w:p>
        </w:tc>
        <w:tc>
          <w:tcPr>
            <w:tcW w:w="1464" w:type="dxa"/>
            <w:tcBorders>
              <w:left w:val="double" w:sz="4" w:space="0" w:color="auto"/>
            </w:tcBorders>
          </w:tcPr>
          <w:p w14:paraId="5142A86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1.38949E+00</w:t>
            </w:r>
          </w:p>
        </w:tc>
        <w:tc>
          <w:tcPr>
            <w:tcW w:w="1728" w:type="dxa"/>
            <w:tcBorders>
              <w:right w:val="single" w:sz="18" w:space="0" w:color="auto"/>
            </w:tcBorders>
          </w:tcPr>
          <w:p w14:paraId="0543CDF1"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3.73800E-09</w:t>
            </w:r>
          </w:p>
        </w:tc>
      </w:tr>
      <w:tr w:rsidR="00DB15E9" w14:paraId="23B83E85" w14:textId="77777777" w:rsidTr="00DB15E9">
        <w:tc>
          <w:tcPr>
            <w:tcW w:w="1458" w:type="dxa"/>
            <w:tcBorders>
              <w:left w:val="single" w:sz="18" w:space="0" w:color="auto"/>
            </w:tcBorders>
          </w:tcPr>
          <w:p w14:paraId="5E9B5DC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3.72800E-03</w:t>
            </w:r>
          </w:p>
        </w:tc>
        <w:tc>
          <w:tcPr>
            <w:tcW w:w="1734" w:type="dxa"/>
            <w:tcBorders>
              <w:right w:val="double" w:sz="4" w:space="0" w:color="auto"/>
            </w:tcBorders>
          </w:tcPr>
          <w:p w14:paraId="0968B34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5.16800E-07</w:t>
            </w:r>
          </w:p>
        </w:tc>
        <w:tc>
          <w:tcPr>
            <w:tcW w:w="1506" w:type="dxa"/>
            <w:tcBorders>
              <w:left w:val="double" w:sz="4" w:space="0" w:color="auto"/>
            </w:tcBorders>
          </w:tcPr>
          <w:p w14:paraId="10B3199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7.68620E-02</w:t>
            </w:r>
          </w:p>
        </w:tc>
        <w:tc>
          <w:tcPr>
            <w:tcW w:w="1686" w:type="dxa"/>
            <w:tcBorders>
              <w:right w:val="double" w:sz="4" w:space="0" w:color="auto"/>
            </w:tcBorders>
          </w:tcPr>
          <w:p w14:paraId="41E98B6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5.52200E-09</w:t>
            </w:r>
          </w:p>
        </w:tc>
        <w:tc>
          <w:tcPr>
            <w:tcW w:w="1464" w:type="dxa"/>
            <w:tcBorders>
              <w:left w:val="double" w:sz="4" w:space="0" w:color="auto"/>
            </w:tcBorders>
          </w:tcPr>
          <w:p w14:paraId="379698B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1.58489E+00</w:t>
            </w:r>
          </w:p>
        </w:tc>
        <w:tc>
          <w:tcPr>
            <w:tcW w:w="1728" w:type="dxa"/>
            <w:tcBorders>
              <w:right w:val="single" w:sz="18" w:space="0" w:color="auto"/>
            </w:tcBorders>
          </w:tcPr>
          <w:p w14:paraId="276D35DE"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3.73800E-09</w:t>
            </w:r>
          </w:p>
        </w:tc>
      </w:tr>
      <w:tr w:rsidR="00DB15E9" w14:paraId="74BA16CE" w14:textId="77777777" w:rsidTr="00DB15E9">
        <w:tc>
          <w:tcPr>
            <w:tcW w:w="1458" w:type="dxa"/>
            <w:tcBorders>
              <w:left w:val="single" w:sz="18" w:space="0" w:color="auto"/>
            </w:tcBorders>
          </w:tcPr>
          <w:p w14:paraId="6E4348F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4.25200E-03</w:t>
            </w:r>
          </w:p>
        </w:tc>
        <w:tc>
          <w:tcPr>
            <w:tcW w:w="1734" w:type="dxa"/>
            <w:tcBorders>
              <w:right w:val="double" w:sz="4" w:space="0" w:color="auto"/>
            </w:tcBorders>
          </w:tcPr>
          <w:p w14:paraId="2653CF21"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3.73600E-07</w:t>
            </w:r>
          </w:p>
        </w:tc>
        <w:tc>
          <w:tcPr>
            <w:tcW w:w="1506" w:type="dxa"/>
            <w:tcBorders>
              <w:left w:val="double" w:sz="4" w:space="0" w:color="auto"/>
            </w:tcBorders>
          </w:tcPr>
          <w:p w14:paraId="783DE7E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8.76710E-02</w:t>
            </w:r>
          </w:p>
        </w:tc>
        <w:tc>
          <w:tcPr>
            <w:tcW w:w="1686" w:type="dxa"/>
            <w:tcBorders>
              <w:right w:val="double" w:sz="4" w:space="0" w:color="auto"/>
            </w:tcBorders>
          </w:tcPr>
          <w:p w14:paraId="79F6444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5.30700E-09</w:t>
            </w:r>
          </w:p>
        </w:tc>
        <w:tc>
          <w:tcPr>
            <w:tcW w:w="1464" w:type="dxa"/>
            <w:tcBorders>
              <w:left w:val="double" w:sz="4" w:space="0" w:color="auto"/>
            </w:tcBorders>
          </w:tcPr>
          <w:p w14:paraId="77A592C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1.80777E+00</w:t>
            </w:r>
          </w:p>
        </w:tc>
        <w:tc>
          <w:tcPr>
            <w:tcW w:w="1728" w:type="dxa"/>
            <w:tcBorders>
              <w:right w:val="single" w:sz="18" w:space="0" w:color="auto"/>
            </w:tcBorders>
          </w:tcPr>
          <w:p w14:paraId="25FCF7C5"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3.73800E-09</w:t>
            </w:r>
          </w:p>
        </w:tc>
      </w:tr>
      <w:tr w:rsidR="00DB15E9" w14:paraId="3BCF29D9" w14:textId="77777777" w:rsidTr="00DB15E9">
        <w:tc>
          <w:tcPr>
            <w:tcW w:w="1458" w:type="dxa"/>
            <w:tcBorders>
              <w:left w:val="single" w:sz="18" w:space="0" w:color="auto"/>
            </w:tcBorders>
          </w:tcPr>
          <w:p w14:paraId="2209DFA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4.85000E-03</w:t>
            </w:r>
          </w:p>
        </w:tc>
        <w:tc>
          <w:tcPr>
            <w:tcW w:w="1734" w:type="dxa"/>
            <w:tcBorders>
              <w:right w:val="double" w:sz="4" w:space="0" w:color="auto"/>
            </w:tcBorders>
          </w:tcPr>
          <w:p w14:paraId="6FD635E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2.88600E-07</w:t>
            </w:r>
          </w:p>
        </w:tc>
        <w:tc>
          <w:tcPr>
            <w:tcW w:w="1506" w:type="dxa"/>
            <w:tcBorders>
              <w:left w:val="double" w:sz="4" w:space="0" w:color="auto"/>
            </w:tcBorders>
          </w:tcPr>
          <w:p w14:paraId="07DFB5A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1.00000E-01</w:t>
            </w:r>
          </w:p>
        </w:tc>
        <w:tc>
          <w:tcPr>
            <w:tcW w:w="1686" w:type="dxa"/>
            <w:tcBorders>
              <w:right w:val="double" w:sz="4" w:space="0" w:color="auto"/>
            </w:tcBorders>
          </w:tcPr>
          <w:p w14:paraId="2C4827D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4.91200E-09</w:t>
            </w:r>
          </w:p>
        </w:tc>
        <w:tc>
          <w:tcPr>
            <w:tcW w:w="1464" w:type="dxa"/>
            <w:tcBorders>
              <w:left w:val="double" w:sz="4" w:space="0" w:color="auto"/>
            </w:tcBorders>
          </w:tcPr>
          <w:p w14:paraId="672C9BE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2.06199E+00</w:t>
            </w:r>
          </w:p>
        </w:tc>
        <w:tc>
          <w:tcPr>
            <w:tcW w:w="1728" w:type="dxa"/>
            <w:tcBorders>
              <w:right w:val="single" w:sz="18" w:space="0" w:color="auto"/>
            </w:tcBorders>
          </w:tcPr>
          <w:p w14:paraId="35669782"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3.38500E-09</w:t>
            </w:r>
          </w:p>
        </w:tc>
      </w:tr>
      <w:tr w:rsidR="00DB15E9" w14:paraId="1D2F4D2F" w14:textId="77777777" w:rsidTr="00DB15E9">
        <w:tc>
          <w:tcPr>
            <w:tcW w:w="1458" w:type="dxa"/>
            <w:tcBorders>
              <w:left w:val="single" w:sz="18" w:space="0" w:color="auto"/>
            </w:tcBorders>
          </w:tcPr>
          <w:p w14:paraId="1585389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5.53200E-03</w:t>
            </w:r>
          </w:p>
        </w:tc>
        <w:tc>
          <w:tcPr>
            <w:tcW w:w="1734" w:type="dxa"/>
            <w:tcBorders>
              <w:right w:val="double" w:sz="4" w:space="0" w:color="auto"/>
            </w:tcBorders>
          </w:tcPr>
          <w:p w14:paraId="32D8824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2.15600E-07</w:t>
            </w:r>
          </w:p>
        </w:tc>
        <w:tc>
          <w:tcPr>
            <w:tcW w:w="1506" w:type="dxa"/>
            <w:tcBorders>
              <w:left w:val="double" w:sz="4" w:space="0" w:color="auto"/>
            </w:tcBorders>
          </w:tcPr>
          <w:p w14:paraId="370B731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1.14062E-01</w:t>
            </w:r>
          </w:p>
        </w:tc>
        <w:tc>
          <w:tcPr>
            <w:tcW w:w="1686" w:type="dxa"/>
            <w:tcBorders>
              <w:right w:val="double" w:sz="4" w:space="0" w:color="auto"/>
            </w:tcBorders>
          </w:tcPr>
          <w:p w14:paraId="4D4B8FF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4.66500E-09</w:t>
            </w:r>
          </w:p>
        </w:tc>
        <w:tc>
          <w:tcPr>
            <w:tcW w:w="1464" w:type="dxa"/>
            <w:tcBorders>
              <w:left w:val="double" w:sz="4" w:space="0" w:color="auto"/>
            </w:tcBorders>
          </w:tcPr>
          <w:p w14:paraId="66DE3F8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2.35195E+00</w:t>
            </w:r>
          </w:p>
        </w:tc>
        <w:tc>
          <w:tcPr>
            <w:tcW w:w="1728" w:type="dxa"/>
            <w:tcBorders>
              <w:right w:val="single" w:sz="18" w:space="0" w:color="auto"/>
            </w:tcBorders>
          </w:tcPr>
          <w:p w14:paraId="77373D15"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3.38500E-09</w:t>
            </w:r>
          </w:p>
        </w:tc>
      </w:tr>
      <w:tr w:rsidR="00DB15E9" w14:paraId="43EE1782" w14:textId="77777777" w:rsidTr="00DB15E9">
        <w:tc>
          <w:tcPr>
            <w:tcW w:w="1458" w:type="dxa"/>
            <w:tcBorders>
              <w:left w:val="single" w:sz="18" w:space="0" w:color="auto"/>
            </w:tcBorders>
          </w:tcPr>
          <w:p w14:paraId="3AB0D5F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6.31000E-03</w:t>
            </w:r>
          </w:p>
        </w:tc>
        <w:tc>
          <w:tcPr>
            <w:tcW w:w="1734" w:type="dxa"/>
            <w:tcBorders>
              <w:right w:val="double" w:sz="4" w:space="0" w:color="auto"/>
            </w:tcBorders>
          </w:tcPr>
          <w:p w14:paraId="2D0D796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1.60200E-07</w:t>
            </w:r>
          </w:p>
        </w:tc>
        <w:tc>
          <w:tcPr>
            <w:tcW w:w="1506" w:type="dxa"/>
            <w:tcBorders>
              <w:left w:val="double" w:sz="4" w:space="0" w:color="auto"/>
            </w:tcBorders>
          </w:tcPr>
          <w:p w14:paraId="78F6B33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1.30103E-01</w:t>
            </w:r>
          </w:p>
        </w:tc>
        <w:tc>
          <w:tcPr>
            <w:tcW w:w="1686" w:type="dxa"/>
            <w:tcBorders>
              <w:right w:val="double" w:sz="4" w:space="0" w:color="auto"/>
            </w:tcBorders>
          </w:tcPr>
          <w:p w14:paraId="2B452BAE"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4.56000E-09</w:t>
            </w:r>
          </w:p>
        </w:tc>
        <w:tc>
          <w:tcPr>
            <w:tcW w:w="1464" w:type="dxa"/>
            <w:tcBorders>
              <w:left w:val="double" w:sz="4" w:space="0" w:color="auto"/>
            </w:tcBorders>
          </w:tcPr>
          <w:p w14:paraId="17A973C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2.68270E+00</w:t>
            </w:r>
          </w:p>
        </w:tc>
        <w:tc>
          <w:tcPr>
            <w:tcW w:w="1728" w:type="dxa"/>
            <w:tcBorders>
              <w:right w:val="single" w:sz="18" w:space="0" w:color="auto"/>
            </w:tcBorders>
          </w:tcPr>
          <w:p w14:paraId="5ACB4A4B"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3.38500E-09</w:t>
            </w:r>
          </w:p>
        </w:tc>
      </w:tr>
      <w:tr w:rsidR="00DB15E9" w14:paraId="782FA4FD" w14:textId="77777777" w:rsidTr="00DB15E9">
        <w:tc>
          <w:tcPr>
            <w:tcW w:w="1458" w:type="dxa"/>
            <w:tcBorders>
              <w:left w:val="single" w:sz="18" w:space="0" w:color="auto"/>
            </w:tcBorders>
          </w:tcPr>
          <w:p w14:paraId="20089E2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7.19700E-03</w:t>
            </w:r>
          </w:p>
        </w:tc>
        <w:tc>
          <w:tcPr>
            <w:tcW w:w="1734" w:type="dxa"/>
            <w:tcBorders>
              <w:right w:val="double" w:sz="4" w:space="0" w:color="auto"/>
            </w:tcBorders>
          </w:tcPr>
          <w:p w14:paraId="05A84CC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1.20300E-07</w:t>
            </w:r>
          </w:p>
        </w:tc>
        <w:tc>
          <w:tcPr>
            <w:tcW w:w="1506" w:type="dxa"/>
            <w:tcBorders>
              <w:left w:val="double" w:sz="4" w:space="0" w:color="auto"/>
            </w:tcBorders>
          </w:tcPr>
          <w:p w14:paraId="24957B5B"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1.48398E-01</w:t>
            </w:r>
          </w:p>
        </w:tc>
        <w:tc>
          <w:tcPr>
            <w:tcW w:w="1686" w:type="dxa"/>
            <w:tcBorders>
              <w:right w:val="double" w:sz="4" w:space="0" w:color="auto"/>
            </w:tcBorders>
          </w:tcPr>
          <w:p w14:paraId="15AA137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4.39400E-09</w:t>
            </w:r>
          </w:p>
        </w:tc>
        <w:tc>
          <w:tcPr>
            <w:tcW w:w="1464" w:type="dxa"/>
            <w:tcBorders>
              <w:left w:val="double" w:sz="4" w:space="0" w:color="auto"/>
            </w:tcBorders>
          </w:tcPr>
          <w:p w14:paraId="38B9D26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3.05995E+00</w:t>
            </w:r>
          </w:p>
        </w:tc>
        <w:tc>
          <w:tcPr>
            <w:tcW w:w="1728" w:type="dxa"/>
            <w:tcBorders>
              <w:right w:val="single" w:sz="18" w:space="0" w:color="auto"/>
            </w:tcBorders>
          </w:tcPr>
          <w:p w14:paraId="4BC8FA1A"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3.38000E-09</w:t>
            </w:r>
          </w:p>
        </w:tc>
      </w:tr>
      <w:tr w:rsidR="00DB15E9" w14:paraId="1EAD8914" w14:textId="77777777" w:rsidTr="00DB15E9">
        <w:tc>
          <w:tcPr>
            <w:tcW w:w="1458" w:type="dxa"/>
            <w:tcBorders>
              <w:left w:val="single" w:sz="18" w:space="0" w:color="auto"/>
            </w:tcBorders>
          </w:tcPr>
          <w:p w14:paraId="56D96D2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8.20900E-03</w:t>
            </w:r>
          </w:p>
        </w:tc>
        <w:tc>
          <w:tcPr>
            <w:tcW w:w="1734" w:type="dxa"/>
            <w:tcBorders>
              <w:right w:val="double" w:sz="4" w:space="0" w:color="auto"/>
            </w:tcBorders>
          </w:tcPr>
          <w:p w14:paraId="6E3E4D8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8.21500E-08</w:t>
            </w:r>
          </w:p>
        </w:tc>
        <w:tc>
          <w:tcPr>
            <w:tcW w:w="1506" w:type="dxa"/>
            <w:tcBorders>
              <w:left w:val="double" w:sz="4" w:space="0" w:color="auto"/>
            </w:tcBorders>
          </w:tcPr>
          <w:p w14:paraId="67305F39"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1.69267E-01</w:t>
            </w:r>
          </w:p>
        </w:tc>
        <w:tc>
          <w:tcPr>
            <w:tcW w:w="1686" w:type="dxa"/>
            <w:tcBorders>
              <w:right w:val="double" w:sz="4" w:space="0" w:color="auto"/>
            </w:tcBorders>
          </w:tcPr>
          <w:p w14:paraId="45C1F63B"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4.27400E-09</w:t>
            </w:r>
          </w:p>
        </w:tc>
        <w:tc>
          <w:tcPr>
            <w:tcW w:w="1464" w:type="dxa"/>
            <w:tcBorders>
              <w:left w:val="double" w:sz="4" w:space="0" w:color="auto"/>
            </w:tcBorders>
          </w:tcPr>
          <w:p w14:paraId="3D101E2F"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3.49025E+00</w:t>
            </w:r>
          </w:p>
        </w:tc>
        <w:tc>
          <w:tcPr>
            <w:tcW w:w="1728" w:type="dxa"/>
            <w:tcBorders>
              <w:right w:val="single" w:sz="18" w:space="0" w:color="auto"/>
            </w:tcBorders>
          </w:tcPr>
          <w:p w14:paraId="2E62C85E"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3.37800E-09</w:t>
            </w:r>
          </w:p>
        </w:tc>
      </w:tr>
      <w:tr w:rsidR="00DB15E9" w14:paraId="0EE97AB7" w14:textId="77777777" w:rsidTr="00DB15E9">
        <w:tc>
          <w:tcPr>
            <w:tcW w:w="1458" w:type="dxa"/>
            <w:tcBorders>
              <w:left w:val="single" w:sz="18" w:space="0" w:color="auto"/>
            </w:tcBorders>
          </w:tcPr>
          <w:p w14:paraId="0270905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9.36300E-03</w:t>
            </w:r>
          </w:p>
        </w:tc>
        <w:tc>
          <w:tcPr>
            <w:tcW w:w="1734" w:type="dxa"/>
            <w:tcBorders>
              <w:right w:val="double" w:sz="4" w:space="0" w:color="auto"/>
            </w:tcBorders>
          </w:tcPr>
          <w:p w14:paraId="335D5B47"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6.42500E-08</w:t>
            </w:r>
          </w:p>
        </w:tc>
        <w:tc>
          <w:tcPr>
            <w:tcW w:w="1506" w:type="dxa"/>
            <w:tcBorders>
              <w:left w:val="double" w:sz="4" w:space="0" w:color="auto"/>
            </w:tcBorders>
          </w:tcPr>
          <w:p w14:paraId="1F83833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1.93070E-01</w:t>
            </w:r>
          </w:p>
        </w:tc>
        <w:tc>
          <w:tcPr>
            <w:tcW w:w="1686" w:type="dxa"/>
            <w:tcBorders>
              <w:right w:val="double" w:sz="4" w:space="0" w:color="auto"/>
            </w:tcBorders>
          </w:tcPr>
          <w:p w14:paraId="134CDBD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4.18300E-09</w:t>
            </w:r>
          </w:p>
        </w:tc>
        <w:tc>
          <w:tcPr>
            <w:tcW w:w="1464" w:type="dxa"/>
            <w:tcBorders>
              <w:left w:val="double" w:sz="4" w:space="0" w:color="auto"/>
            </w:tcBorders>
          </w:tcPr>
          <w:p w14:paraId="0699EC2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3.98107E+00</w:t>
            </w:r>
          </w:p>
        </w:tc>
        <w:tc>
          <w:tcPr>
            <w:tcW w:w="1728" w:type="dxa"/>
            <w:tcBorders>
              <w:right w:val="single" w:sz="18" w:space="0" w:color="auto"/>
            </w:tcBorders>
          </w:tcPr>
          <w:p w14:paraId="5A050DA6"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1.95200E-09</w:t>
            </w:r>
          </w:p>
        </w:tc>
      </w:tr>
      <w:tr w:rsidR="00DB15E9" w14:paraId="3A4E43AD" w14:textId="77777777" w:rsidTr="00DB15E9">
        <w:tc>
          <w:tcPr>
            <w:tcW w:w="1458" w:type="dxa"/>
            <w:tcBorders>
              <w:left w:val="single" w:sz="18" w:space="0" w:color="auto"/>
            </w:tcBorders>
          </w:tcPr>
          <w:p w14:paraId="2E15770E"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1.06800E-02</w:t>
            </w:r>
          </w:p>
        </w:tc>
        <w:tc>
          <w:tcPr>
            <w:tcW w:w="1734" w:type="dxa"/>
            <w:tcBorders>
              <w:right w:val="double" w:sz="4" w:space="0" w:color="auto"/>
            </w:tcBorders>
          </w:tcPr>
          <w:p w14:paraId="08850CE3"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5.00200E-08</w:t>
            </w:r>
          </w:p>
        </w:tc>
        <w:tc>
          <w:tcPr>
            <w:tcW w:w="1506" w:type="dxa"/>
            <w:tcBorders>
              <w:left w:val="double" w:sz="4" w:space="0" w:color="auto"/>
            </w:tcBorders>
          </w:tcPr>
          <w:p w14:paraId="734C07C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2.20220E-01</w:t>
            </w:r>
          </w:p>
        </w:tc>
        <w:tc>
          <w:tcPr>
            <w:tcW w:w="1686" w:type="dxa"/>
            <w:tcBorders>
              <w:right w:val="double" w:sz="4" w:space="0" w:color="auto"/>
            </w:tcBorders>
          </w:tcPr>
          <w:p w14:paraId="46D42B2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4.14700E-09</w:t>
            </w:r>
          </w:p>
        </w:tc>
        <w:tc>
          <w:tcPr>
            <w:tcW w:w="1464" w:type="dxa"/>
            <w:tcBorders>
              <w:left w:val="double" w:sz="4" w:space="0" w:color="auto"/>
            </w:tcBorders>
          </w:tcPr>
          <w:p w14:paraId="54891FCF"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4.54091E+00</w:t>
            </w:r>
          </w:p>
        </w:tc>
        <w:tc>
          <w:tcPr>
            <w:tcW w:w="1728" w:type="dxa"/>
            <w:tcBorders>
              <w:right w:val="single" w:sz="18" w:space="0" w:color="auto"/>
            </w:tcBorders>
          </w:tcPr>
          <w:p w14:paraId="2B962676"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1.95000E-09</w:t>
            </w:r>
          </w:p>
        </w:tc>
      </w:tr>
      <w:tr w:rsidR="00DB15E9" w14:paraId="2D1192DD" w14:textId="77777777" w:rsidTr="00DB15E9">
        <w:tc>
          <w:tcPr>
            <w:tcW w:w="1458" w:type="dxa"/>
            <w:tcBorders>
              <w:left w:val="single" w:sz="18" w:space="0" w:color="auto"/>
            </w:tcBorders>
          </w:tcPr>
          <w:p w14:paraId="67871046"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1.21820E-02</w:t>
            </w:r>
          </w:p>
        </w:tc>
        <w:tc>
          <w:tcPr>
            <w:tcW w:w="1734" w:type="dxa"/>
            <w:tcBorders>
              <w:right w:val="double" w:sz="4" w:space="0" w:color="auto"/>
            </w:tcBorders>
          </w:tcPr>
          <w:p w14:paraId="438831C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4.05400E-08</w:t>
            </w:r>
          </w:p>
        </w:tc>
        <w:tc>
          <w:tcPr>
            <w:tcW w:w="1506" w:type="dxa"/>
            <w:tcBorders>
              <w:left w:val="double" w:sz="4" w:space="0" w:color="auto"/>
            </w:tcBorders>
          </w:tcPr>
          <w:p w14:paraId="5AE9C1A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2.51189E-01</w:t>
            </w:r>
          </w:p>
        </w:tc>
        <w:tc>
          <w:tcPr>
            <w:tcW w:w="1686" w:type="dxa"/>
            <w:tcBorders>
              <w:right w:val="double" w:sz="4" w:space="0" w:color="auto"/>
            </w:tcBorders>
          </w:tcPr>
          <w:p w14:paraId="54B63BBE"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4.08200E-09</w:t>
            </w:r>
          </w:p>
        </w:tc>
        <w:tc>
          <w:tcPr>
            <w:tcW w:w="1464" w:type="dxa"/>
            <w:tcBorders>
              <w:left w:val="double" w:sz="4" w:space="0" w:color="auto"/>
            </w:tcBorders>
          </w:tcPr>
          <w:p w14:paraId="6E1EC455"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5.17948E+00</w:t>
            </w:r>
          </w:p>
        </w:tc>
        <w:tc>
          <w:tcPr>
            <w:tcW w:w="1728" w:type="dxa"/>
            <w:tcBorders>
              <w:right w:val="single" w:sz="18" w:space="0" w:color="auto"/>
            </w:tcBorders>
          </w:tcPr>
          <w:p w14:paraId="2D5EE8B1"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1.94900E-09</w:t>
            </w:r>
          </w:p>
        </w:tc>
      </w:tr>
      <w:tr w:rsidR="00DB15E9" w14:paraId="0FE23E33" w14:textId="77777777" w:rsidTr="00DB15E9">
        <w:tc>
          <w:tcPr>
            <w:tcW w:w="1458" w:type="dxa"/>
            <w:tcBorders>
              <w:left w:val="single" w:sz="18" w:space="0" w:color="auto"/>
            </w:tcBorders>
          </w:tcPr>
          <w:p w14:paraId="163BE37B"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1.38950E-02</w:t>
            </w:r>
          </w:p>
        </w:tc>
        <w:tc>
          <w:tcPr>
            <w:tcW w:w="1734" w:type="dxa"/>
            <w:tcBorders>
              <w:right w:val="double" w:sz="4" w:space="0" w:color="auto"/>
            </w:tcBorders>
          </w:tcPr>
          <w:p w14:paraId="1292AC3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3.00300E-08</w:t>
            </w:r>
          </w:p>
        </w:tc>
        <w:tc>
          <w:tcPr>
            <w:tcW w:w="1506" w:type="dxa"/>
            <w:tcBorders>
              <w:left w:val="double" w:sz="4" w:space="0" w:color="auto"/>
            </w:tcBorders>
          </w:tcPr>
          <w:p w14:paraId="1FE4AAB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2.86512E-01</w:t>
            </w:r>
          </w:p>
        </w:tc>
        <w:tc>
          <w:tcPr>
            <w:tcW w:w="1686" w:type="dxa"/>
            <w:tcBorders>
              <w:right w:val="double" w:sz="4" w:space="0" w:color="auto"/>
            </w:tcBorders>
          </w:tcPr>
          <w:p w14:paraId="2276234C"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4.02900E-09</w:t>
            </w:r>
          </w:p>
        </w:tc>
        <w:tc>
          <w:tcPr>
            <w:tcW w:w="1464" w:type="dxa"/>
            <w:tcBorders>
              <w:left w:val="double" w:sz="4" w:space="0" w:color="auto"/>
            </w:tcBorders>
          </w:tcPr>
          <w:p w14:paraId="2934D4E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5.90784E+00</w:t>
            </w:r>
          </w:p>
        </w:tc>
        <w:tc>
          <w:tcPr>
            <w:tcW w:w="1728" w:type="dxa"/>
            <w:tcBorders>
              <w:right w:val="single" w:sz="18" w:space="0" w:color="auto"/>
            </w:tcBorders>
          </w:tcPr>
          <w:p w14:paraId="6AD887E5"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1.94800E-09</w:t>
            </w:r>
          </w:p>
        </w:tc>
      </w:tr>
      <w:tr w:rsidR="00DB15E9" w14:paraId="451C434A" w14:textId="77777777" w:rsidTr="00DB15E9">
        <w:tc>
          <w:tcPr>
            <w:tcW w:w="1458" w:type="dxa"/>
            <w:tcBorders>
              <w:left w:val="single" w:sz="18" w:space="0" w:color="auto"/>
            </w:tcBorders>
          </w:tcPr>
          <w:p w14:paraId="7578F47B"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1.58490E-02</w:t>
            </w:r>
          </w:p>
        </w:tc>
        <w:tc>
          <w:tcPr>
            <w:tcW w:w="1734" w:type="dxa"/>
            <w:tcBorders>
              <w:right w:val="double" w:sz="4" w:space="0" w:color="auto"/>
            </w:tcBorders>
          </w:tcPr>
          <w:p w14:paraId="3C47F73D"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2.36300E-08</w:t>
            </w:r>
          </w:p>
        </w:tc>
        <w:tc>
          <w:tcPr>
            <w:tcW w:w="1506" w:type="dxa"/>
            <w:tcBorders>
              <w:left w:val="double" w:sz="4" w:space="0" w:color="auto"/>
            </w:tcBorders>
          </w:tcPr>
          <w:p w14:paraId="2FE4B002"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3.26803E-01</w:t>
            </w:r>
          </w:p>
        </w:tc>
        <w:tc>
          <w:tcPr>
            <w:tcW w:w="1686" w:type="dxa"/>
            <w:tcBorders>
              <w:right w:val="double" w:sz="4" w:space="0" w:color="auto"/>
            </w:tcBorders>
          </w:tcPr>
          <w:p w14:paraId="73411630"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3.99300E-09</w:t>
            </w:r>
          </w:p>
        </w:tc>
        <w:tc>
          <w:tcPr>
            <w:tcW w:w="1464" w:type="dxa"/>
            <w:tcBorders>
              <w:left w:val="double" w:sz="4" w:space="0" w:color="auto"/>
            </w:tcBorders>
          </w:tcPr>
          <w:p w14:paraId="22FD2AFF"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6.73863E+00</w:t>
            </w:r>
          </w:p>
        </w:tc>
        <w:tc>
          <w:tcPr>
            <w:tcW w:w="1728" w:type="dxa"/>
            <w:tcBorders>
              <w:right w:val="single" w:sz="18" w:space="0" w:color="auto"/>
            </w:tcBorders>
          </w:tcPr>
          <w:p w14:paraId="65674057"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1.94800E-09</w:t>
            </w:r>
          </w:p>
        </w:tc>
      </w:tr>
      <w:tr w:rsidR="00DB15E9" w14:paraId="4C355813" w14:textId="77777777" w:rsidTr="00DB15E9">
        <w:tc>
          <w:tcPr>
            <w:tcW w:w="1458" w:type="dxa"/>
            <w:tcBorders>
              <w:left w:val="single" w:sz="18" w:space="0" w:color="auto"/>
            </w:tcBorders>
          </w:tcPr>
          <w:p w14:paraId="684E471F"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1.80780E-02</w:t>
            </w:r>
          </w:p>
        </w:tc>
        <w:tc>
          <w:tcPr>
            <w:tcW w:w="1734" w:type="dxa"/>
            <w:tcBorders>
              <w:right w:val="double" w:sz="4" w:space="0" w:color="auto"/>
            </w:tcBorders>
          </w:tcPr>
          <w:p w14:paraId="1E0B56EA"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1.92000E-08</w:t>
            </w:r>
          </w:p>
        </w:tc>
        <w:tc>
          <w:tcPr>
            <w:tcW w:w="1506" w:type="dxa"/>
            <w:tcBorders>
              <w:left w:val="double" w:sz="4" w:space="0" w:color="auto"/>
            </w:tcBorders>
          </w:tcPr>
          <w:p w14:paraId="34122301"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3.72759E-01</w:t>
            </w:r>
          </w:p>
        </w:tc>
        <w:tc>
          <w:tcPr>
            <w:tcW w:w="1686" w:type="dxa"/>
            <w:tcBorders>
              <w:right w:val="double" w:sz="4" w:space="0" w:color="auto"/>
            </w:tcBorders>
          </w:tcPr>
          <w:p w14:paraId="36D5A89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3.96000E-09</w:t>
            </w:r>
          </w:p>
        </w:tc>
        <w:tc>
          <w:tcPr>
            <w:tcW w:w="1464" w:type="dxa"/>
            <w:tcBorders>
              <w:left w:val="double" w:sz="4" w:space="0" w:color="auto"/>
              <w:bottom w:val="single" w:sz="18" w:space="0" w:color="auto"/>
            </w:tcBorders>
          </w:tcPr>
          <w:p w14:paraId="3DB190C8"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7.68625E+00</w:t>
            </w:r>
          </w:p>
        </w:tc>
        <w:tc>
          <w:tcPr>
            <w:tcW w:w="1728" w:type="dxa"/>
            <w:tcBorders>
              <w:bottom w:val="single" w:sz="18" w:space="0" w:color="auto"/>
              <w:right w:val="single" w:sz="18" w:space="0" w:color="auto"/>
            </w:tcBorders>
          </w:tcPr>
          <w:p w14:paraId="600C2005" w14:textId="77777777" w:rsidR="00DB15E9" w:rsidRDefault="0078312E">
            <w:pPr>
              <w:pStyle w:val="ESSPFigureCaption"/>
              <w:tabs>
                <w:tab w:val="clear" w:pos="1440"/>
                <w:tab w:val="clear" w:pos="4140"/>
                <w:tab w:val="clear" w:pos="7920"/>
              </w:tabs>
              <w:spacing w:before="0" w:after="0"/>
              <w:rPr>
                <w:b w:val="0"/>
                <w:sz w:val="18"/>
                <w:szCs w:val="18"/>
              </w:rPr>
            </w:pPr>
            <w:r>
              <w:rPr>
                <w:rFonts w:ascii="Helvetica" w:hAnsi="Helvetica"/>
                <w:b w:val="0"/>
                <w:sz w:val="18"/>
                <w:szCs w:val="18"/>
              </w:rPr>
              <w:t>1.36900E-13</w:t>
            </w:r>
          </w:p>
        </w:tc>
      </w:tr>
      <w:tr w:rsidR="00DB15E9" w14:paraId="08C1CE35" w14:textId="77777777" w:rsidTr="00DB15E9">
        <w:tc>
          <w:tcPr>
            <w:tcW w:w="7848" w:type="dxa"/>
            <w:gridSpan w:val="5"/>
            <w:tcBorders>
              <w:left w:val="single" w:sz="18" w:space="0" w:color="auto"/>
            </w:tcBorders>
            <w:shd w:val="clear" w:color="auto" w:fill="000000" w:themeFill="text1"/>
          </w:tcPr>
          <w:p w14:paraId="3580BF33" w14:textId="77777777" w:rsidR="00DB15E9" w:rsidRDefault="0078312E">
            <w:pPr>
              <w:pStyle w:val="ESSPFigureCaption"/>
              <w:tabs>
                <w:tab w:val="clear" w:pos="1440"/>
                <w:tab w:val="clear" w:pos="4140"/>
                <w:tab w:val="clear" w:pos="7920"/>
              </w:tabs>
              <w:spacing w:before="0" w:after="0"/>
              <w:jc w:val="right"/>
              <w:rPr>
                <w:rFonts w:ascii="Helvetica" w:hAnsi="Helvetica"/>
                <w:sz w:val="18"/>
                <w:szCs w:val="18"/>
              </w:rPr>
            </w:pPr>
            <w:r>
              <w:rPr>
                <w:rFonts w:ascii="Helvetica" w:hAnsi="Helvetica"/>
                <w:color w:val="FFFFFF" w:themeColor="background1"/>
                <w:sz w:val="18"/>
                <w:szCs w:val="18"/>
              </w:rPr>
              <w:t>Average Velocity (km/s)</w:t>
            </w:r>
          </w:p>
        </w:tc>
        <w:tc>
          <w:tcPr>
            <w:tcW w:w="1728" w:type="dxa"/>
            <w:tcBorders>
              <w:right w:val="single" w:sz="18" w:space="0" w:color="auto"/>
            </w:tcBorders>
          </w:tcPr>
          <w:p w14:paraId="2733C964" w14:textId="77777777" w:rsidR="00DB15E9" w:rsidRDefault="0078312E">
            <w:pPr>
              <w:pStyle w:val="ESSPFigureCaption"/>
              <w:tabs>
                <w:tab w:val="clear" w:pos="1440"/>
                <w:tab w:val="clear" w:pos="4140"/>
                <w:tab w:val="clear" w:pos="7920"/>
              </w:tabs>
              <w:spacing w:before="0" w:after="0"/>
              <w:rPr>
                <w:rFonts w:ascii="Helvetica" w:hAnsi="Helvetica"/>
                <w:b w:val="0"/>
                <w:sz w:val="18"/>
                <w:szCs w:val="18"/>
              </w:rPr>
            </w:pPr>
            <w:r>
              <w:rPr>
                <w:rFonts w:ascii="Helvetica" w:hAnsi="Helvetica"/>
                <w:b w:val="0"/>
                <w:sz w:val="18"/>
                <w:szCs w:val="18"/>
              </w:rPr>
              <w:t>1.3333</w:t>
            </w:r>
          </w:p>
        </w:tc>
      </w:tr>
    </w:tbl>
    <w:p w14:paraId="0E1088AB" w14:textId="77777777" w:rsidR="00DB15E9" w:rsidRDefault="0078312E">
      <w:pPr>
        <w:keepNext/>
      </w:pPr>
      <w:bookmarkStart w:id="360" w:name="_Toc442799913"/>
      <w:r>
        <w:rPr>
          <w:noProof/>
        </w:rPr>
        <w:drawing>
          <wp:inline distT="0" distB="0" distL="0" distR="0" wp14:anchorId="0E2A0969" wp14:editId="7DB7C806">
            <wp:extent cx="5942617" cy="3386667"/>
            <wp:effectExtent l="0" t="0" r="127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87227"/>
                    </a:xfrm>
                    <a:prstGeom prst="rect">
                      <a:avLst/>
                    </a:prstGeom>
                    <a:noFill/>
                    <a:ln>
                      <a:noFill/>
                    </a:ln>
                  </pic:spPr>
                </pic:pic>
              </a:graphicData>
            </a:graphic>
          </wp:inline>
        </w:drawing>
      </w:r>
      <w:bookmarkEnd w:id="360"/>
    </w:p>
    <w:p w14:paraId="2B57D18D" w14:textId="77777777" w:rsidR="00DB15E9" w:rsidRDefault="0078312E">
      <w:pPr>
        <w:pStyle w:val="ESSPFigureCaption"/>
        <w:rPr>
          <w:rFonts w:ascii="Helvetica" w:hAnsi="Helvetica"/>
        </w:rPr>
      </w:pPr>
      <w:bookmarkStart w:id="361" w:name="_Ref211674843"/>
      <w:bookmarkStart w:id="362" w:name="_Toc471971599"/>
      <w:r>
        <w:rPr>
          <w:rFonts w:ascii="Helvetica" w:hAnsi="Helvetica"/>
        </w:rPr>
        <w:t xml:space="preserve">Figure </w:t>
      </w:r>
      <w:bookmarkStart w:id="363" w:name="OLE_LINK53"/>
      <w:r>
        <w:rPr>
          <w:rFonts w:ascii="Helvetica" w:hAnsi="Helvetica"/>
        </w:rPr>
        <w:fldChar w:fldCharType="begin"/>
      </w:r>
      <w:r>
        <w:rPr>
          <w:rFonts w:ascii="Helvetica" w:hAnsi="Helvetica"/>
        </w:rPr>
        <w:instrText xml:space="preserve"> STYLEREF 1 \s </w:instrText>
      </w:r>
      <w:r>
        <w:rPr>
          <w:rFonts w:ascii="Helvetica" w:hAnsi="Helvetica"/>
        </w:rPr>
        <w:fldChar w:fldCharType="separate"/>
      </w:r>
      <w:r>
        <w:rPr>
          <w:rFonts w:ascii="Helvetica" w:hAnsi="Helvetica"/>
          <w:noProof/>
        </w:rPr>
        <w:t>3</w:t>
      </w:r>
      <w:r>
        <w:rPr>
          <w:rFonts w:ascii="Helvetica" w:hAnsi="Helvetica"/>
        </w:rPr>
        <w:fldChar w:fldCharType="end"/>
      </w:r>
      <w:r>
        <w:rPr>
          <w:rFonts w:ascii="Helvetica" w:hAnsi="Helvetica"/>
        </w:rPr>
        <w:noBreakHyphen/>
      </w:r>
      <w:r>
        <w:rPr>
          <w:rFonts w:ascii="Helvetica" w:hAnsi="Helvetica"/>
        </w:rPr>
        <w:fldChar w:fldCharType="begin"/>
      </w:r>
      <w:r>
        <w:rPr>
          <w:rFonts w:ascii="Helvetica" w:hAnsi="Helvetica"/>
        </w:rPr>
        <w:instrText xml:space="preserve"> SEQ Figure \* ARABIC \s 1 </w:instrText>
      </w:r>
      <w:r>
        <w:rPr>
          <w:rFonts w:ascii="Helvetica" w:hAnsi="Helvetica"/>
        </w:rPr>
        <w:fldChar w:fldCharType="separate"/>
      </w:r>
      <w:r>
        <w:rPr>
          <w:rFonts w:ascii="Helvetica" w:hAnsi="Helvetica"/>
          <w:noProof/>
        </w:rPr>
        <w:t>8</w:t>
      </w:r>
      <w:r>
        <w:rPr>
          <w:rFonts w:ascii="Helvetica" w:hAnsi="Helvetica"/>
        </w:rPr>
        <w:fldChar w:fldCharType="end"/>
      </w:r>
      <w:bookmarkEnd w:id="361"/>
      <w:bookmarkEnd w:id="363"/>
      <w:r>
        <w:rPr>
          <w:rFonts w:ascii="Helvetica" w:hAnsi="Helvetica"/>
        </w:rPr>
        <w:t>: [GEO] Worst-case Artificial Space Debris Environment</w:t>
      </w:r>
      <w:bookmarkEnd w:id="362"/>
    </w:p>
    <w:p w14:paraId="630EE85C" w14:textId="77777777" w:rsidR="00DB15E9" w:rsidRDefault="0078312E">
      <w:pPr>
        <w:pStyle w:val="ESSPBodyText"/>
      </w:pPr>
      <w:r>
        <w:lastRenderedPageBreak/>
        <w:t>Rationale: Impacts from artificial space debris may permanently degrade performance or damage the Instrument. This guidance estimates the maximum artificial space debris flux and impact velocities an Instrument can expect to experience for GEO domains during the Calendar Year 2015 epoch. Expected artificial space debris flux increases over time as more hardware is launched into orbit.</w:t>
      </w:r>
    </w:p>
    <w:p w14:paraId="4DF4FEF7" w14:textId="77777777" w:rsidR="00DB15E9" w:rsidRDefault="0078312E">
      <w:pPr>
        <w:pStyle w:val="ESSPBodyText"/>
      </w:pPr>
      <w:r>
        <w:t xml:space="preserve">Based upon analysis of ESA’s 2009 MASTER (Meteoroid and Space Debris Environment) model, the GEO guidance aggregates the maximum expected artificial space debris flux, sampled at 20° intervals around the GEO belt. </w:t>
      </w:r>
    </w:p>
    <w:p w14:paraId="4AE63900" w14:textId="77777777" w:rsidR="00DB15E9" w:rsidRDefault="0078312E">
      <w:pPr>
        <w:pStyle w:val="ESSPBodyText"/>
      </w:pPr>
      <w:r>
        <w:t>Micrometeoroid and artificial space debris flux guidelines are listed separately due to the stability of micrometeoroid flux over time, compared to the increase of artificial space debris. The premier and overriding guidance is that the Instrument will “do no harm” to the Host Spacecraft or other payloads. This implies that the Instrument will not generate orbital debris.</w:t>
      </w:r>
    </w:p>
    <w:p w14:paraId="7D2584B8" w14:textId="77777777" w:rsidR="00DB15E9" w:rsidRDefault="0078312E">
      <w:pPr>
        <w:pStyle w:val="Heading4"/>
      </w:pPr>
      <w:bookmarkStart w:id="364" w:name="_Toc471910912"/>
      <w:r>
        <w:t>Atomic Oxygen Environment</w:t>
      </w:r>
      <w:bookmarkEnd w:id="364"/>
    </w:p>
    <w:p w14:paraId="2361913D" w14:textId="77777777" w:rsidR="00DB15E9" w:rsidRDefault="0078312E">
      <w:pPr>
        <w:pStyle w:val="Requirement"/>
      </w:pPr>
      <w:r>
        <w:t>The Instrument should function according to its specifications following exposure to the atomic oxygen environment, based on its expected mission orbit, for the duration of the Instrument primary mission.</w:t>
      </w:r>
    </w:p>
    <w:p w14:paraId="710D9784" w14:textId="77777777" w:rsidR="00DB15E9" w:rsidRDefault="0078312E">
      <w:pPr>
        <w:pStyle w:val="ESSPBodyText"/>
      </w:pPr>
      <w:r>
        <w:t>Rationale: Exposure to atomic oxygen degrades many materials and requires mitigation to ensure full Instrument function over the design mission lifetime. Atomic oxygen levels in GEO are negligible and are only significant for GEO-bound Instruments that spend extended times in LEO prior to GEO transfer. Instrument Developers should conservatively estimate the atomic oxygen environment for their Instrument’s specified orbit(s), orbital lifetime and launch date relative to the solar cycle. One source for predictory models is the Community Coordinated Modeling Center (CCMC) at http://ccmc.gsfc.nasa.gov/index.php</w:t>
      </w:r>
    </w:p>
    <w:p w14:paraId="317A924C" w14:textId="77777777" w:rsidR="00DB15E9" w:rsidRDefault="0078312E">
      <w:pPr>
        <w:pStyle w:val="Heading3"/>
      </w:pPr>
      <w:bookmarkStart w:id="365" w:name="_Toc471910913"/>
      <w:r>
        <w:t>Electromagnetic Interference &amp; Compatibility Environment</w:t>
      </w:r>
      <w:bookmarkEnd w:id="365"/>
    </w:p>
    <w:p w14:paraId="464B4474" w14:textId="77777777" w:rsidR="00DB15E9" w:rsidRDefault="0078312E">
      <w:pPr>
        <w:pStyle w:val="Requirement"/>
      </w:pPr>
      <w:r>
        <w:t>The Instrument should function according to its specification following exposure to the Electromagnetic Interference and Electromagnetic Compatibility (EMI/EMC) environments as defined in the applicable sections of MIL-STD-461.</w:t>
      </w:r>
    </w:p>
    <w:p w14:paraId="508DDD9F" w14:textId="77777777" w:rsidR="00DB15E9" w:rsidRDefault="0078312E">
      <w:pPr>
        <w:pStyle w:val="ESSPBodyText"/>
      </w:pPr>
      <w:r>
        <w:t>Rationale: Exposure of the hosted payload instrument to electromagnetic fields may induce degraded performance or damage in the instrument electrical and/or electronic subsystems. The application of the appropriate environments as described in the above noted reference and in accordance with those test procedures defined in, or superior to, MIL-STD-461 or MIL-STD-462, will result in an instrument that is designed and verified to assure full instrument function in the defined EMI/EMC environments.</w:t>
      </w:r>
    </w:p>
    <w:p w14:paraId="6D7C018A" w14:textId="77777777" w:rsidR="00DB15E9" w:rsidRDefault="0078312E">
      <w:pPr>
        <w:pStyle w:val="ESSPBodyText"/>
      </w:pPr>
      <w:r>
        <w:t>Note: the environments defined in MIL-STD-461 may be tailored in accordance with the Host Spacecraft, launch vehicle and launch range requirements.</w:t>
      </w:r>
    </w:p>
    <w:p w14:paraId="4953F0BC" w14:textId="77777777" w:rsidR="00DB15E9" w:rsidRDefault="0078312E">
      <w:pPr>
        <w:pStyle w:val="Heading1"/>
      </w:pPr>
      <w:bookmarkStart w:id="366" w:name="_Toc226776112"/>
      <w:bookmarkStart w:id="367" w:name="_Toc471910914"/>
      <w:bookmarkStart w:id="368" w:name="_Ref321132491"/>
      <w:bookmarkStart w:id="369" w:name="_Toc326129301"/>
      <w:r>
        <w:lastRenderedPageBreak/>
        <w:t>Acronyms</w:t>
      </w:r>
      <w:bookmarkEnd w:id="366"/>
      <w:bookmarkEnd w:id="3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7469"/>
      </w:tblGrid>
      <w:tr w:rsidR="00DB15E9" w14:paraId="3ABB6C4C" w14:textId="77777777">
        <w:tc>
          <w:tcPr>
            <w:tcW w:w="1891" w:type="dxa"/>
          </w:tcPr>
          <w:p w14:paraId="344741D3" w14:textId="77777777" w:rsidR="00DB15E9" w:rsidRDefault="0078312E">
            <w:pPr>
              <w:spacing w:after="0"/>
              <w:rPr>
                <w:rFonts w:asciiTheme="minorHAnsi" w:hAnsiTheme="minorHAnsi" w:cstheme="minorHAnsi"/>
              </w:rPr>
            </w:pPr>
            <w:r>
              <w:rPr>
                <w:rFonts w:asciiTheme="minorHAnsi" w:hAnsiTheme="minorHAnsi" w:cstheme="minorHAnsi"/>
              </w:rPr>
              <w:t>AI&amp;T</w:t>
            </w:r>
          </w:p>
        </w:tc>
        <w:tc>
          <w:tcPr>
            <w:tcW w:w="7469" w:type="dxa"/>
          </w:tcPr>
          <w:p w14:paraId="2CB51A37" w14:textId="77777777" w:rsidR="00DB15E9" w:rsidRDefault="0078312E">
            <w:pPr>
              <w:spacing w:after="0"/>
              <w:rPr>
                <w:rFonts w:asciiTheme="minorHAnsi" w:hAnsiTheme="minorHAnsi" w:cstheme="minorHAnsi"/>
              </w:rPr>
            </w:pPr>
            <w:r>
              <w:rPr>
                <w:rFonts w:asciiTheme="minorHAnsi" w:hAnsiTheme="minorHAnsi" w:cstheme="minorHAnsi"/>
              </w:rPr>
              <w:t>Assembly, Integration, and Test</w:t>
            </w:r>
          </w:p>
        </w:tc>
      </w:tr>
      <w:tr w:rsidR="00DB15E9" w14:paraId="5C258CCF" w14:textId="77777777">
        <w:tc>
          <w:tcPr>
            <w:tcW w:w="1891" w:type="dxa"/>
          </w:tcPr>
          <w:p w14:paraId="433681EA" w14:textId="77777777" w:rsidR="00DB15E9" w:rsidRDefault="0078312E">
            <w:pPr>
              <w:spacing w:after="0"/>
              <w:rPr>
                <w:rFonts w:asciiTheme="minorHAnsi" w:hAnsiTheme="minorHAnsi" w:cstheme="minorHAnsi"/>
              </w:rPr>
            </w:pPr>
            <w:r>
              <w:rPr>
                <w:rFonts w:asciiTheme="minorHAnsi" w:hAnsiTheme="minorHAnsi" w:cstheme="minorHAnsi"/>
              </w:rPr>
              <w:t>AP</w:t>
            </w:r>
          </w:p>
        </w:tc>
        <w:tc>
          <w:tcPr>
            <w:tcW w:w="7469" w:type="dxa"/>
          </w:tcPr>
          <w:p w14:paraId="1D22D3D6" w14:textId="77777777" w:rsidR="00DB15E9" w:rsidRDefault="0078312E">
            <w:pPr>
              <w:spacing w:after="0"/>
              <w:rPr>
                <w:rFonts w:asciiTheme="minorHAnsi" w:hAnsiTheme="minorHAnsi" w:cstheme="minorHAnsi"/>
              </w:rPr>
            </w:pPr>
            <w:r>
              <w:rPr>
                <w:rFonts w:asciiTheme="minorHAnsi" w:hAnsiTheme="minorHAnsi" w:cstheme="minorHAnsi"/>
              </w:rPr>
              <w:t>Average Power</w:t>
            </w:r>
          </w:p>
        </w:tc>
      </w:tr>
      <w:tr w:rsidR="00DB15E9" w14:paraId="4C4860E6" w14:textId="77777777">
        <w:tc>
          <w:tcPr>
            <w:tcW w:w="1891" w:type="dxa"/>
          </w:tcPr>
          <w:p w14:paraId="2797D9C3" w14:textId="77777777" w:rsidR="00DB15E9" w:rsidRDefault="0078312E">
            <w:pPr>
              <w:spacing w:after="0"/>
              <w:rPr>
                <w:rFonts w:asciiTheme="minorHAnsi" w:hAnsiTheme="minorHAnsi" w:cstheme="minorHAnsi"/>
              </w:rPr>
            </w:pPr>
            <w:r>
              <w:rPr>
                <w:rFonts w:asciiTheme="minorHAnsi" w:hAnsiTheme="minorHAnsi" w:cstheme="minorHAnsi"/>
              </w:rPr>
              <w:t>ASD</w:t>
            </w:r>
          </w:p>
        </w:tc>
        <w:tc>
          <w:tcPr>
            <w:tcW w:w="7469" w:type="dxa"/>
          </w:tcPr>
          <w:p w14:paraId="0789CB49" w14:textId="77777777" w:rsidR="00DB15E9" w:rsidRDefault="0078312E">
            <w:pPr>
              <w:spacing w:after="0"/>
              <w:rPr>
                <w:rFonts w:asciiTheme="minorHAnsi" w:hAnsiTheme="minorHAnsi" w:cstheme="minorHAnsi"/>
              </w:rPr>
            </w:pPr>
            <w:r>
              <w:rPr>
                <w:rFonts w:asciiTheme="minorHAnsi" w:hAnsiTheme="minorHAnsi" w:cstheme="minorHAnsi"/>
              </w:rPr>
              <w:t>Acceleration Spectral Density</w:t>
            </w:r>
          </w:p>
        </w:tc>
      </w:tr>
      <w:tr w:rsidR="00DB15E9" w14:paraId="10C29CE8" w14:textId="77777777">
        <w:tc>
          <w:tcPr>
            <w:tcW w:w="1891" w:type="dxa"/>
          </w:tcPr>
          <w:p w14:paraId="0FBA25EF" w14:textId="77777777" w:rsidR="00DB15E9" w:rsidRDefault="0078312E">
            <w:pPr>
              <w:spacing w:after="0"/>
              <w:rPr>
                <w:rFonts w:asciiTheme="minorHAnsi" w:hAnsiTheme="minorHAnsi" w:cstheme="minorHAnsi"/>
              </w:rPr>
            </w:pPr>
            <w:r>
              <w:rPr>
                <w:rFonts w:asciiTheme="minorHAnsi" w:hAnsiTheme="minorHAnsi" w:cstheme="minorHAnsi"/>
              </w:rPr>
              <w:t>AWG</w:t>
            </w:r>
          </w:p>
        </w:tc>
        <w:tc>
          <w:tcPr>
            <w:tcW w:w="7469" w:type="dxa"/>
          </w:tcPr>
          <w:p w14:paraId="734DF526" w14:textId="77777777" w:rsidR="00DB15E9" w:rsidRDefault="0078312E">
            <w:pPr>
              <w:spacing w:after="0"/>
              <w:rPr>
                <w:rFonts w:asciiTheme="minorHAnsi" w:hAnsiTheme="minorHAnsi" w:cstheme="minorHAnsi"/>
              </w:rPr>
            </w:pPr>
            <w:r>
              <w:rPr>
                <w:rFonts w:asciiTheme="minorHAnsi" w:hAnsiTheme="minorHAnsi" w:cstheme="minorHAnsi"/>
              </w:rPr>
              <w:t>American Wire Gauge</w:t>
            </w:r>
          </w:p>
        </w:tc>
      </w:tr>
      <w:tr w:rsidR="00DB15E9" w14:paraId="1B89DED3" w14:textId="77777777">
        <w:tc>
          <w:tcPr>
            <w:tcW w:w="1891" w:type="dxa"/>
          </w:tcPr>
          <w:p w14:paraId="150A2B8D" w14:textId="77777777" w:rsidR="00DB15E9" w:rsidRDefault="0078312E">
            <w:pPr>
              <w:spacing w:after="0"/>
              <w:rPr>
                <w:rFonts w:asciiTheme="minorHAnsi" w:hAnsiTheme="minorHAnsi" w:cstheme="minorHAnsi"/>
              </w:rPr>
            </w:pPr>
            <w:r>
              <w:rPr>
                <w:rFonts w:asciiTheme="minorHAnsi" w:hAnsiTheme="minorHAnsi" w:cstheme="minorHAnsi"/>
              </w:rPr>
              <w:t>C&amp;DH</w:t>
            </w:r>
          </w:p>
        </w:tc>
        <w:tc>
          <w:tcPr>
            <w:tcW w:w="7469" w:type="dxa"/>
          </w:tcPr>
          <w:p w14:paraId="42358DB3" w14:textId="77777777" w:rsidR="00DB15E9" w:rsidRDefault="0078312E">
            <w:pPr>
              <w:spacing w:after="0"/>
              <w:rPr>
                <w:rFonts w:asciiTheme="minorHAnsi" w:hAnsiTheme="minorHAnsi" w:cstheme="minorHAnsi"/>
              </w:rPr>
            </w:pPr>
            <w:r>
              <w:rPr>
                <w:rFonts w:asciiTheme="minorHAnsi" w:hAnsiTheme="minorHAnsi" w:cstheme="minorHAnsi"/>
              </w:rPr>
              <w:t>Command and Data Handling</w:t>
            </w:r>
          </w:p>
        </w:tc>
      </w:tr>
      <w:tr w:rsidR="00DB15E9" w14:paraId="4368B5E0" w14:textId="77777777">
        <w:tc>
          <w:tcPr>
            <w:tcW w:w="1891" w:type="dxa"/>
          </w:tcPr>
          <w:p w14:paraId="1336137B" w14:textId="77777777" w:rsidR="00DB15E9" w:rsidRDefault="0078312E">
            <w:pPr>
              <w:spacing w:after="0"/>
              <w:rPr>
                <w:rFonts w:asciiTheme="minorHAnsi" w:hAnsiTheme="minorHAnsi" w:cstheme="minorHAnsi"/>
              </w:rPr>
            </w:pPr>
            <w:r>
              <w:rPr>
                <w:rFonts w:asciiTheme="minorHAnsi" w:hAnsiTheme="minorHAnsi" w:cstheme="minorHAnsi"/>
              </w:rPr>
              <w:t>CCSDS</w:t>
            </w:r>
          </w:p>
        </w:tc>
        <w:tc>
          <w:tcPr>
            <w:tcW w:w="7469" w:type="dxa"/>
          </w:tcPr>
          <w:p w14:paraId="1C960C75" w14:textId="77777777" w:rsidR="00DB15E9" w:rsidRDefault="0078312E">
            <w:pPr>
              <w:spacing w:after="0"/>
              <w:rPr>
                <w:rFonts w:asciiTheme="minorHAnsi" w:hAnsiTheme="minorHAnsi" w:cstheme="minorHAnsi"/>
              </w:rPr>
            </w:pPr>
            <w:r>
              <w:rPr>
                <w:rFonts w:asciiTheme="minorHAnsi" w:hAnsiTheme="minorHAnsi" w:cstheme="minorHAnsi"/>
              </w:rPr>
              <w:t>Consultative Committee for Space Data Systems</w:t>
            </w:r>
          </w:p>
        </w:tc>
      </w:tr>
      <w:tr w:rsidR="00DB15E9" w14:paraId="09C64C69" w14:textId="77777777">
        <w:tc>
          <w:tcPr>
            <w:tcW w:w="1891" w:type="dxa"/>
          </w:tcPr>
          <w:p w14:paraId="23163642" w14:textId="77777777" w:rsidR="00DB15E9" w:rsidRDefault="0078312E">
            <w:pPr>
              <w:spacing w:after="0"/>
              <w:rPr>
                <w:rFonts w:asciiTheme="minorHAnsi" w:hAnsiTheme="minorHAnsi" w:cstheme="minorHAnsi"/>
              </w:rPr>
            </w:pPr>
            <w:r>
              <w:rPr>
                <w:rFonts w:asciiTheme="minorHAnsi" w:hAnsiTheme="minorHAnsi" w:cstheme="minorHAnsi"/>
              </w:rPr>
              <w:t>CE</w:t>
            </w:r>
          </w:p>
        </w:tc>
        <w:tc>
          <w:tcPr>
            <w:tcW w:w="7469" w:type="dxa"/>
          </w:tcPr>
          <w:p w14:paraId="262C3A53" w14:textId="77777777" w:rsidR="00DB15E9" w:rsidRDefault="0078312E">
            <w:pPr>
              <w:spacing w:after="0"/>
              <w:rPr>
                <w:rFonts w:asciiTheme="minorHAnsi" w:hAnsiTheme="minorHAnsi" w:cstheme="minorHAnsi"/>
              </w:rPr>
            </w:pPr>
            <w:r>
              <w:rPr>
                <w:rFonts w:asciiTheme="minorHAnsi" w:hAnsiTheme="minorHAnsi" w:cstheme="minorHAnsi"/>
              </w:rPr>
              <w:t>Conducted Emissions</w:t>
            </w:r>
          </w:p>
        </w:tc>
      </w:tr>
      <w:tr w:rsidR="00DB15E9" w14:paraId="0B444D64" w14:textId="77777777">
        <w:tc>
          <w:tcPr>
            <w:tcW w:w="1891" w:type="dxa"/>
          </w:tcPr>
          <w:p w14:paraId="176E0BD9" w14:textId="77777777" w:rsidR="00DB15E9" w:rsidRDefault="0078312E">
            <w:pPr>
              <w:spacing w:after="0"/>
              <w:rPr>
                <w:rFonts w:asciiTheme="minorHAnsi" w:hAnsiTheme="minorHAnsi" w:cstheme="minorHAnsi"/>
              </w:rPr>
            </w:pPr>
            <w:r>
              <w:rPr>
                <w:rFonts w:asciiTheme="minorHAnsi" w:hAnsiTheme="minorHAnsi" w:cstheme="minorHAnsi"/>
              </w:rPr>
              <w:t>CICD</w:t>
            </w:r>
          </w:p>
        </w:tc>
        <w:tc>
          <w:tcPr>
            <w:tcW w:w="7469" w:type="dxa"/>
          </w:tcPr>
          <w:p w14:paraId="73C9440B" w14:textId="77777777" w:rsidR="00DB15E9" w:rsidRDefault="0078312E">
            <w:pPr>
              <w:spacing w:after="0"/>
              <w:rPr>
                <w:rFonts w:asciiTheme="minorHAnsi" w:hAnsiTheme="minorHAnsi" w:cstheme="minorHAnsi"/>
              </w:rPr>
            </w:pPr>
            <w:r>
              <w:rPr>
                <w:rFonts w:asciiTheme="minorHAnsi" w:hAnsiTheme="minorHAnsi" w:cstheme="minorHAnsi"/>
              </w:rPr>
              <w:t>Contamination ICD</w:t>
            </w:r>
          </w:p>
        </w:tc>
      </w:tr>
      <w:tr w:rsidR="00DB15E9" w14:paraId="7D0A43EB" w14:textId="77777777">
        <w:tc>
          <w:tcPr>
            <w:tcW w:w="1891" w:type="dxa"/>
          </w:tcPr>
          <w:p w14:paraId="56599E50" w14:textId="77777777" w:rsidR="00DB15E9" w:rsidRDefault="0078312E">
            <w:pPr>
              <w:spacing w:after="0"/>
              <w:rPr>
                <w:rFonts w:asciiTheme="minorHAnsi" w:hAnsiTheme="minorHAnsi" w:cstheme="minorHAnsi"/>
              </w:rPr>
            </w:pPr>
            <w:r>
              <w:rPr>
                <w:rFonts w:asciiTheme="minorHAnsi" w:hAnsiTheme="minorHAnsi" w:cstheme="minorHAnsi"/>
              </w:rPr>
              <w:t>CII</w:t>
            </w:r>
          </w:p>
        </w:tc>
        <w:tc>
          <w:tcPr>
            <w:tcW w:w="7469" w:type="dxa"/>
          </w:tcPr>
          <w:p w14:paraId="471B4A9D" w14:textId="77777777" w:rsidR="00DB15E9" w:rsidRDefault="0078312E">
            <w:pPr>
              <w:spacing w:after="0"/>
              <w:rPr>
                <w:rFonts w:asciiTheme="minorHAnsi" w:hAnsiTheme="minorHAnsi" w:cstheme="minorHAnsi"/>
              </w:rPr>
            </w:pPr>
            <w:r>
              <w:rPr>
                <w:rFonts w:asciiTheme="minorHAnsi" w:hAnsiTheme="minorHAnsi" w:cstheme="minorHAnsi"/>
              </w:rPr>
              <w:t>Common Instrument Interface</w:t>
            </w:r>
          </w:p>
        </w:tc>
      </w:tr>
      <w:tr w:rsidR="00DB15E9" w14:paraId="186BECD1" w14:textId="77777777">
        <w:tc>
          <w:tcPr>
            <w:tcW w:w="1891" w:type="dxa"/>
          </w:tcPr>
          <w:p w14:paraId="0DDC9B3D" w14:textId="77777777" w:rsidR="00DB15E9" w:rsidRDefault="0078312E">
            <w:pPr>
              <w:spacing w:after="0"/>
              <w:rPr>
                <w:rFonts w:asciiTheme="minorHAnsi" w:hAnsiTheme="minorHAnsi" w:cstheme="minorHAnsi"/>
              </w:rPr>
            </w:pPr>
            <w:r>
              <w:rPr>
                <w:rFonts w:asciiTheme="minorHAnsi" w:hAnsiTheme="minorHAnsi" w:cstheme="minorHAnsi"/>
              </w:rPr>
              <w:t>COTS</w:t>
            </w:r>
          </w:p>
        </w:tc>
        <w:tc>
          <w:tcPr>
            <w:tcW w:w="7469" w:type="dxa"/>
          </w:tcPr>
          <w:p w14:paraId="633C3937" w14:textId="77777777" w:rsidR="00DB15E9" w:rsidRDefault="0078312E">
            <w:pPr>
              <w:spacing w:after="0"/>
              <w:rPr>
                <w:rFonts w:asciiTheme="minorHAnsi" w:hAnsiTheme="minorHAnsi" w:cstheme="minorHAnsi"/>
              </w:rPr>
            </w:pPr>
            <w:r>
              <w:rPr>
                <w:rFonts w:asciiTheme="minorHAnsi" w:hAnsiTheme="minorHAnsi" w:cstheme="minorHAnsi"/>
              </w:rPr>
              <w:t>Commercial Off The Shelf</w:t>
            </w:r>
          </w:p>
        </w:tc>
      </w:tr>
      <w:tr w:rsidR="00DB15E9" w14:paraId="31AC1249" w14:textId="77777777">
        <w:tc>
          <w:tcPr>
            <w:tcW w:w="1891" w:type="dxa"/>
          </w:tcPr>
          <w:p w14:paraId="7F68CEBC" w14:textId="77777777" w:rsidR="00DB15E9" w:rsidRDefault="0078312E">
            <w:pPr>
              <w:spacing w:after="0"/>
              <w:rPr>
                <w:rFonts w:asciiTheme="minorHAnsi" w:hAnsiTheme="minorHAnsi" w:cstheme="minorHAnsi"/>
              </w:rPr>
            </w:pPr>
            <w:r>
              <w:rPr>
                <w:rFonts w:asciiTheme="minorHAnsi" w:hAnsiTheme="minorHAnsi" w:cstheme="minorHAnsi"/>
              </w:rPr>
              <w:t>CS</w:t>
            </w:r>
          </w:p>
        </w:tc>
        <w:tc>
          <w:tcPr>
            <w:tcW w:w="7469" w:type="dxa"/>
          </w:tcPr>
          <w:p w14:paraId="72D00711" w14:textId="77777777" w:rsidR="00DB15E9" w:rsidRDefault="0078312E">
            <w:pPr>
              <w:spacing w:after="0"/>
              <w:rPr>
                <w:rFonts w:asciiTheme="minorHAnsi" w:hAnsiTheme="minorHAnsi" w:cstheme="minorHAnsi"/>
              </w:rPr>
            </w:pPr>
            <w:r>
              <w:rPr>
                <w:rFonts w:asciiTheme="minorHAnsi" w:hAnsiTheme="minorHAnsi" w:cstheme="minorHAnsi"/>
              </w:rPr>
              <w:t>Conducted Susceptibility</w:t>
            </w:r>
          </w:p>
        </w:tc>
      </w:tr>
      <w:tr w:rsidR="00DB15E9" w14:paraId="1FC19499" w14:textId="77777777">
        <w:tc>
          <w:tcPr>
            <w:tcW w:w="1891" w:type="dxa"/>
          </w:tcPr>
          <w:p w14:paraId="31463EC8" w14:textId="77777777" w:rsidR="00DB15E9" w:rsidRDefault="0078312E">
            <w:pPr>
              <w:spacing w:after="0"/>
              <w:rPr>
                <w:rFonts w:asciiTheme="minorHAnsi" w:hAnsiTheme="minorHAnsi" w:cstheme="minorHAnsi"/>
              </w:rPr>
            </w:pPr>
            <w:r>
              <w:rPr>
                <w:rFonts w:asciiTheme="minorHAnsi" w:hAnsiTheme="minorHAnsi" w:cstheme="minorHAnsi"/>
              </w:rPr>
              <w:t>CVCM</w:t>
            </w:r>
          </w:p>
        </w:tc>
        <w:tc>
          <w:tcPr>
            <w:tcW w:w="7469" w:type="dxa"/>
          </w:tcPr>
          <w:p w14:paraId="6EE34456" w14:textId="77777777" w:rsidR="00DB15E9" w:rsidRDefault="0078312E">
            <w:pPr>
              <w:spacing w:after="0"/>
              <w:rPr>
                <w:rFonts w:asciiTheme="minorHAnsi" w:hAnsiTheme="minorHAnsi" w:cstheme="minorHAnsi"/>
              </w:rPr>
            </w:pPr>
            <w:r>
              <w:rPr>
                <w:rFonts w:asciiTheme="minorHAnsi" w:hAnsiTheme="minorHAnsi" w:cstheme="minorHAnsi"/>
              </w:rPr>
              <w:t>Collected Volatile Condensable Material</w:t>
            </w:r>
          </w:p>
        </w:tc>
      </w:tr>
      <w:tr w:rsidR="00DB15E9" w14:paraId="4F2EC303" w14:textId="77777777">
        <w:tc>
          <w:tcPr>
            <w:tcW w:w="1891" w:type="dxa"/>
          </w:tcPr>
          <w:p w14:paraId="606E8713" w14:textId="77777777" w:rsidR="00DB15E9" w:rsidRDefault="0078312E">
            <w:pPr>
              <w:spacing w:after="0"/>
              <w:rPr>
                <w:rFonts w:asciiTheme="minorHAnsi" w:hAnsiTheme="minorHAnsi" w:cstheme="minorHAnsi"/>
              </w:rPr>
            </w:pPr>
            <w:r>
              <w:rPr>
                <w:rFonts w:asciiTheme="minorHAnsi" w:hAnsiTheme="minorHAnsi" w:cstheme="minorHAnsi"/>
              </w:rPr>
              <w:t>DICD</w:t>
            </w:r>
          </w:p>
        </w:tc>
        <w:tc>
          <w:tcPr>
            <w:tcW w:w="7469" w:type="dxa"/>
          </w:tcPr>
          <w:p w14:paraId="0B40C769" w14:textId="77777777" w:rsidR="00DB15E9" w:rsidRDefault="0078312E">
            <w:pPr>
              <w:spacing w:after="0"/>
              <w:rPr>
                <w:rFonts w:asciiTheme="minorHAnsi" w:hAnsiTheme="minorHAnsi" w:cstheme="minorHAnsi"/>
              </w:rPr>
            </w:pPr>
            <w:r>
              <w:rPr>
                <w:rFonts w:asciiTheme="minorHAnsi" w:hAnsiTheme="minorHAnsi" w:cstheme="minorHAnsi"/>
              </w:rPr>
              <w:t>Data ICD</w:t>
            </w:r>
          </w:p>
        </w:tc>
      </w:tr>
      <w:tr w:rsidR="00DB15E9" w14:paraId="1A532F6B" w14:textId="77777777">
        <w:tc>
          <w:tcPr>
            <w:tcW w:w="1891" w:type="dxa"/>
          </w:tcPr>
          <w:p w14:paraId="4FFC28F3" w14:textId="77777777" w:rsidR="00DB15E9" w:rsidRDefault="0078312E">
            <w:pPr>
              <w:spacing w:after="0"/>
              <w:rPr>
                <w:rFonts w:asciiTheme="minorHAnsi" w:hAnsiTheme="minorHAnsi" w:cstheme="minorHAnsi"/>
              </w:rPr>
            </w:pPr>
            <w:r>
              <w:rPr>
                <w:rFonts w:asciiTheme="minorHAnsi" w:hAnsiTheme="minorHAnsi" w:cstheme="minorHAnsi"/>
              </w:rPr>
              <w:t>EED</w:t>
            </w:r>
          </w:p>
        </w:tc>
        <w:tc>
          <w:tcPr>
            <w:tcW w:w="7469" w:type="dxa"/>
          </w:tcPr>
          <w:p w14:paraId="17BBCA79" w14:textId="77777777" w:rsidR="00DB15E9" w:rsidRDefault="0078312E">
            <w:pPr>
              <w:spacing w:after="0"/>
              <w:rPr>
                <w:rFonts w:asciiTheme="minorHAnsi" w:hAnsiTheme="minorHAnsi" w:cstheme="minorHAnsi"/>
              </w:rPr>
            </w:pPr>
            <w:r>
              <w:rPr>
                <w:rFonts w:asciiTheme="minorHAnsi" w:hAnsiTheme="minorHAnsi" w:cstheme="minorHAnsi"/>
              </w:rPr>
              <w:t>Electro-explosive Device</w:t>
            </w:r>
          </w:p>
        </w:tc>
      </w:tr>
      <w:tr w:rsidR="00DB15E9" w14:paraId="60B38312" w14:textId="77777777">
        <w:tc>
          <w:tcPr>
            <w:tcW w:w="1891" w:type="dxa"/>
          </w:tcPr>
          <w:p w14:paraId="044EDCD7" w14:textId="77777777" w:rsidR="00DB15E9" w:rsidRDefault="0078312E">
            <w:pPr>
              <w:spacing w:after="0"/>
              <w:rPr>
                <w:rFonts w:asciiTheme="minorHAnsi" w:hAnsiTheme="minorHAnsi" w:cstheme="minorHAnsi"/>
              </w:rPr>
            </w:pPr>
            <w:r>
              <w:rPr>
                <w:rFonts w:asciiTheme="minorHAnsi" w:hAnsiTheme="minorHAnsi" w:cstheme="minorHAnsi"/>
              </w:rPr>
              <w:t>EICD</w:t>
            </w:r>
          </w:p>
        </w:tc>
        <w:tc>
          <w:tcPr>
            <w:tcW w:w="7469" w:type="dxa"/>
          </w:tcPr>
          <w:p w14:paraId="607AC3B9" w14:textId="77777777" w:rsidR="00DB15E9" w:rsidRDefault="0078312E">
            <w:pPr>
              <w:spacing w:after="0"/>
              <w:rPr>
                <w:rFonts w:asciiTheme="minorHAnsi" w:hAnsiTheme="minorHAnsi" w:cstheme="minorHAnsi"/>
              </w:rPr>
            </w:pPr>
            <w:r>
              <w:rPr>
                <w:rFonts w:asciiTheme="minorHAnsi" w:hAnsiTheme="minorHAnsi" w:cstheme="minorHAnsi"/>
              </w:rPr>
              <w:t>Electrical Power ICD</w:t>
            </w:r>
          </w:p>
        </w:tc>
      </w:tr>
      <w:tr w:rsidR="00DB15E9" w14:paraId="29FC518F" w14:textId="77777777">
        <w:tc>
          <w:tcPr>
            <w:tcW w:w="1891" w:type="dxa"/>
          </w:tcPr>
          <w:p w14:paraId="61B834D6" w14:textId="77777777" w:rsidR="00DB15E9" w:rsidRDefault="0078312E">
            <w:pPr>
              <w:spacing w:after="0"/>
              <w:rPr>
                <w:rFonts w:asciiTheme="minorHAnsi" w:hAnsiTheme="minorHAnsi" w:cstheme="minorHAnsi"/>
              </w:rPr>
            </w:pPr>
            <w:r>
              <w:rPr>
                <w:rFonts w:asciiTheme="minorHAnsi" w:hAnsiTheme="minorHAnsi" w:cstheme="minorHAnsi"/>
              </w:rPr>
              <w:t>EMC</w:t>
            </w:r>
          </w:p>
        </w:tc>
        <w:tc>
          <w:tcPr>
            <w:tcW w:w="7469" w:type="dxa"/>
          </w:tcPr>
          <w:p w14:paraId="72CFD3C6" w14:textId="77777777" w:rsidR="00DB15E9" w:rsidRDefault="0078312E">
            <w:pPr>
              <w:spacing w:after="0"/>
              <w:rPr>
                <w:rFonts w:asciiTheme="minorHAnsi" w:hAnsiTheme="minorHAnsi" w:cstheme="minorHAnsi"/>
              </w:rPr>
            </w:pPr>
            <w:r>
              <w:rPr>
                <w:rFonts w:asciiTheme="minorHAnsi" w:hAnsiTheme="minorHAnsi" w:cstheme="minorHAnsi"/>
              </w:rPr>
              <w:t>Electromagnetic Compatibility</w:t>
            </w:r>
          </w:p>
        </w:tc>
      </w:tr>
      <w:tr w:rsidR="00DB15E9" w14:paraId="7D5DAAC9" w14:textId="77777777">
        <w:tc>
          <w:tcPr>
            <w:tcW w:w="1891" w:type="dxa"/>
          </w:tcPr>
          <w:p w14:paraId="4FD1B3E3" w14:textId="77777777" w:rsidR="00DB15E9" w:rsidRDefault="0078312E">
            <w:pPr>
              <w:spacing w:after="0"/>
              <w:rPr>
                <w:rFonts w:asciiTheme="minorHAnsi" w:hAnsiTheme="minorHAnsi" w:cstheme="minorHAnsi"/>
              </w:rPr>
            </w:pPr>
            <w:r>
              <w:rPr>
                <w:rFonts w:asciiTheme="minorHAnsi" w:hAnsiTheme="minorHAnsi" w:cstheme="minorHAnsi"/>
              </w:rPr>
              <w:t>EMI</w:t>
            </w:r>
          </w:p>
        </w:tc>
        <w:tc>
          <w:tcPr>
            <w:tcW w:w="7469" w:type="dxa"/>
          </w:tcPr>
          <w:p w14:paraId="3AEEFC9B" w14:textId="77777777" w:rsidR="00DB15E9" w:rsidRDefault="0078312E">
            <w:pPr>
              <w:spacing w:after="0"/>
              <w:rPr>
                <w:rFonts w:asciiTheme="minorHAnsi" w:hAnsiTheme="minorHAnsi" w:cstheme="minorHAnsi"/>
              </w:rPr>
            </w:pPr>
            <w:r>
              <w:rPr>
                <w:rFonts w:asciiTheme="minorHAnsi" w:hAnsiTheme="minorHAnsi" w:cstheme="minorHAnsi"/>
              </w:rPr>
              <w:t>Electromagnetic Interference</w:t>
            </w:r>
          </w:p>
        </w:tc>
      </w:tr>
      <w:tr w:rsidR="00DB15E9" w14:paraId="09C58924" w14:textId="77777777">
        <w:tc>
          <w:tcPr>
            <w:tcW w:w="1891" w:type="dxa"/>
          </w:tcPr>
          <w:p w14:paraId="0D6DD11E" w14:textId="77777777" w:rsidR="00DB15E9" w:rsidRDefault="0078312E">
            <w:pPr>
              <w:spacing w:after="0"/>
              <w:rPr>
                <w:rFonts w:asciiTheme="minorHAnsi" w:hAnsiTheme="minorHAnsi" w:cstheme="minorHAnsi"/>
              </w:rPr>
            </w:pPr>
            <w:r>
              <w:rPr>
                <w:rFonts w:asciiTheme="minorHAnsi" w:hAnsiTheme="minorHAnsi" w:cstheme="minorHAnsi"/>
              </w:rPr>
              <w:t>EOS</w:t>
            </w:r>
          </w:p>
        </w:tc>
        <w:tc>
          <w:tcPr>
            <w:tcW w:w="7469" w:type="dxa"/>
          </w:tcPr>
          <w:p w14:paraId="48FC152F" w14:textId="77777777" w:rsidR="00DB15E9" w:rsidRDefault="0078312E">
            <w:pPr>
              <w:spacing w:after="0"/>
              <w:rPr>
                <w:rFonts w:asciiTheme="minorHAnsi" w:hAnsiTheme="minorHAnsi" w:cstheme="minorHAnsi"/>
              </w:rPr>
            </w:pPr>
            <w:r>
              <w:rPr>
                <w:rFonts w:asciiTheme="minorHAnsi" w:hAnsiTheme="minorHAnsi" w:cstheme="minorHAnsi"/>
              </w:rPr>
              <w:t>Earth Observing System</w:t>
            </w:r>
          </w:p>
        </w:tc>
      </w:tr>
      <w:tr w:rsidR="00DB15E9" w14:paraId="3D5721E4" w14:textId="77777777">
        <w:tc>
          <w:tcPr>
            <w:tcW w:w="1891" w:type="dxa"/>
          </w:tcPr>
          <w:p w14:paraId="7A2ACE1E" w14:textId="77777777" w:rsidR="00DB15E9" w:rsidRDefault="0078312E">
            <w:pPr>
              <w:spacing w:after="0"/>
              <w:rPr>
                <w:rFonts w:asciiTheme="minorHAnsi" w:hAnsiTheme="minorHAnsi" w:cstheme="minorHAnsi"/>
              </w:rPr>
            </w:pPr>
            <w:r>
              <w:rPr>
                <w:rFonts w:asciiTheme="minorHAnsi" w:hAnsiTheme="minorHAnsi" w:cstheme="minorHAnsi"/>
              </w:rPr>
              <w:t>EPS</w:t>
            </w:r>
          </w:p>
        </w:tc>
        <w:tc>
          <w:tcPr>
            <w:tcW w:w="7469" w:type="dxa"/>
          </w:tcPr>
          <w:p w14:paraId="57323CE6" w14:textId="77777777" w:rsidR="00DB15E9" w:rsidRDefault="0078312E">
            <w:pPr>
              <w:spacing w:after="0"/>
              <w:rPr>
                <w:rFonts w:asciiTheme="minorHAnsi" w:hAnsiTheme="minorHAnsi" w:cstheme="minorHAnsi"/>
              </w:rPr>
            </w:pPr>
            <w:r>
              <w:rPr>
                <w:rFonts w:asciiTheme="minorHAnsi" w:hAnsiTheme="minorHAnsi" w:cstheme="minorHAnsi"/>
              </w:rPr>
              <w:t>Electrical Power System</w:t>
            </w:r>
          </w:p>
        </w:tc>
      </w:tr>
      <w:tr w:rsidR="00DB15E9" w14:paraId="53F982BD" w14:textId="77777777">
        <w:tc>
          <w:tcPr>
            <w:tcW w:w="1891" w:type="dxa"/>
          </w:tcPr>
          <w:p w14:paraId="52BBF59A" w14:textId="77777777" w:rsidR="00DB15E9" w:rsidRDefault="0078312E">
            <w:pPr>
              <w:spacing w:after="0"/>
              <w:rPr>
                <w:rFonts w:asciiTheme="minorHAnsi" w:hAnsiTheme="minorHAnsi" w:cstheme="minorHAnsi"/>
              </w:rPr>
            </w:pPr>
            <w:r>
              <w:rPr>
                <w:rFonts w:asciiTheme="minorHAnsi" w:hAnsiTheme="minorHAnsi" w:cstheme="minorHAnsi"/>
              </w:rPr>
              <w:t>ERD</w:t>
            </w:r>
          </w:p>
        </w:tc>
        <w:tc>
          <w:tcPr>
            <w:tcW w:w="7469" w:type="dxa"/>
          </w:tcPr>
          <w:p w14:paraId="0FCA039E" w14:textId="77777777" w:rsidR="00DB15E9" w:rsidRDefault="0078312E">
            <w:pPr>
              <w:spacing w:after="0"/>
              <w:rPr>
                <w:rFonts w:asciiTheme="minorHAnsi" w:hAnsiTheme="minorHAnsi" w:cstheme="minorHAnsi"/>
              </w:rPr>
            </w:pPr>
            <w:r>
              <w:rPr>
                <w:rFonts w:asciiTheme="minorHAnsi" w:hAnsiTheme="minorHAnsi" w:cstheme="minorHAnsi"/>
              </w:rPr>
              <w:t>Environmental Requirements Document</w:t>
            </w:r>
          </w:p>
        </w:tc>
      </w:tr>
      <w:tr w:rsidR="00DB15E9" w14:paraId="0B8D0061" w14:textId="77777777">
        <w:tc>
          <w:tcPr>
            <w:tcW w:w="1891" w:type="dxa"/>
          </w:tcPr>
          <w:p w14:paraId="26196B4C" w14:textId="77777777" w:rsidR="00DB15E9" w:rsidRDefault="0078312E">
            <w:pPr>
              <w:spacing w:after="0"/>
              <w:rPr>
                <w:rFonts w:asciiTheme="minorHAnsi" w:hAnsiTheme="minorHAnsi" w:cstheme="minorHAnsi"/>
              </w:rPr>
            </w:pPr>
            <w:r>
              <w:rPr>
                <w:rFonts w:asciiTheme="minorHAnsi" w:hAnsiTheme="minorHAnsi" w:cstheme="minorHAnsi"/>
              </w:rPr>
              <w:t>ESA</w:t>
            </w:r>
          </w:p>
        </w:tc>
        <w:tc>
          <w:tcPr>
            <w:tcW w:w="7469" w:type="dxa"/>
          </w:tcPr>
          <w:p w14:paraId="383605E5" w14:textId="77777777" w:rsidR="00DB15E9" w:rsidRDefault="0078312E">
            <w:pPr>
              <w:spacing w:after="0"/>
              <w:rPr>
                <w:rFonts w:asciiTheme="minorHAnsi" w:hAnsiTheme="minorHAnsi" w:cstheme="minorHAnsi"/>
              </w:rPr>
            </w:pPr>
            <w:r>
              <w:rPr>
                <w:rFonts w:asciiTheme="minorHAnsi" w:hAnsiTheme="minorHAnsi" w:cstheme="minorHAnsi"/>
              </w:rPr>
              <w:t>European Space Agency</w:t>
            </w:r>
          </w:p>
        </w:tc>
      </w:tr>
      <w:tr w:rsidR="00DB15E9" w14:paraId="0EB69385" w14:textId="77777777">
        <w:tc>
          <w:tcPr>
            <w:tcW w:w="1891" w:type="dxa"/>
          </w:tcPr>
          <w:p w14:paraId="3B544914" w14:textId="77777777" w:rsidR="00DB15E9" w:rsidRDefault="0078312E">
            <w:pPr>
              <w:spacing w:after="0"/>
              <w:rPr>
                <w:rFonts w:asciiTheme="minorHAnsi" w:hAnsiTheme="minorHAnsi" w:cstheme="minorHAnsi"/>
              </w:rPr>
            </w:pPr>
            <w:r>
              <w:rPr>
                <w:rFonts w:asciiTheme="minorHAnsi" w:hAnsiTheme="minorHAnsi" w:cstheme="minorHAnsi"/>
              </w:rPr>
              <w:t>EVI</w:t>
            </w:r>
          </w:p>
        </w:tc>
        <w:tc>
          <w:tcPr>
            <w:tcW w:w="7469" w:type="dxa"/>
          </w:tcPr>
          <w:p w14:paraId="2B8454D1" w14:textId="77777777" w:rsidR="00DB15E9" w:rsidRDefault="0078312E">
            <w:pPr>
              <w:spacing w:after="0"/>
              <w:rPr>
                <w:rFonts w:asciiTheme="minorHAnsi" w:hAnsiTheme="minorHAnsi" w:cstheme="minorHAnsi"/>
              </w:rPr>
            </w:pPr>
            <w:r>
              <w:rPr>
                <w:rFonts w:asciiTheme="minorHAnsi" w:hAnsiTheme="minorHAnsi" w:cstheme="minorHAnsi"/>
              </w:rPr>
              <w:t>Earth Venture Instrument</w:t>
            </w:r>
          </w:p>
        </w:tc>
      </w:tr>
      <w:tr w:rsidR="00DB15E9" w14:paraId="0C39ADFD" w14:textId="77777777">
        <w:tc>
          <w:tcPr>
            <w:tcW w:w="1891" w:type="dxa"/>
          </w:tcPr>
          <w:p w14:paraId="0D4614A2" w14:textId="77777777" w:rsidR="00DB15E9" w:rsidRDefault="0078312E">
            <w:pPr>
              <w:spacing w:after="0"/>
              <w:rPr>
                <w:rFonts w:asciiTheme="minorHAnsi" w:hAnsiTheme="minorHAnsi" w:cstheme="minorHAnsi"/>
              </w:rPr>
            </w:pPr>
            <w:r>
              <w:rPr>
                <w:rFonts w:asciiTheme="minorHAnsi" w:hAnsiTheme="minorHAnsi" w:cstheme="minorHAnsi"/>
              </w:rPr>
              <w:t>FDIR</w:t>
            </w:r>
          </w:p>
        </w:tc>
        <w:tc>
          <w:tcPr>
            <w:tcW w:w="7469" w:type="dxa"/>
          </w:tcPr>
          <w:p w14:paraId="549250FC" w14:textId="77777777" w:rsidR="00DB15E9" w:rsidRDefault="0078312E">
            <w:pPr>
              <w:spacing w:after="0"/>
              <w:rPr>
                <w:rFonts w:asciiTheme="minorHAnsi" w:hAnsiTheme="minorHAnsi" w:cstheme="minorHAnsi"/>
              </w:rPr>
            </w:pPr>
            <w:r>
              <w:rPr>
                <w:rFonts w:asciiTheme="minorHAnsi" w:hAnsiTheme="minorHAnsi" w:cstheme="minorHAnsi"/>
              </w:rPr>
              <w:t>Fault Detection, Isolation, and Recovery</w:t>
            </w:r>
          </w:p>
        </w:tc>
      </w:tr>
      <w:tr w:rsidR="00DB15E9" w14:paraId="49BE7828" w14:textId="77777777">
        <w:tc>
          <w:tcPr>
            <w:tcW w:w="1891" w:type="dxa"/>
          </w:tcPr>
          <w:p w14:paraId="1BD47F9B" w14:textId="77777777" w:rsidR="00DB15E9" w:rsidRDefault="0078312E">
            <w:pPr>
              <w:spacing w:after="0"/>
              <w:rPr>
                <w:rFonts w:asciiTheme="minorHAnsi" w:hAnsiTheme="minorHAnsi" w:cstheme="minorHAnsi"/>
              </w:rPr>
            </w:pPr>
            <w:r>
              <w:rPr>
                <w:rFonts w:asciiTheme="minorHAnsi" w:hAnsiTheme="minorHAnsi" w:cstheme="minorHAnsi"/>
              </w:rPr>
              <w:t>FOV</w:t>
            </w:r>
          </w:p>
        </w:tc>
        <w:tc>
          <w:tcPr>
            <w:tcW w:w="7469" w:type="dxa"/>
          </w:tcPr>
          <w:p w14:paraId="423015BB" w14:textId="77777777" w:rsidR="00DB15E9" w:rsidRDefault="0078312E">
            <w:pPr>
              <w:spacing w:after="0"/>
              <w:rPr>
                <w:rFonts w:asciiTheme="minorHAnsi" w:hAnsiTheme="minorHAnsi" w:cstheme="minorHAnsi"/>
              </w:rPr>
            </w:pPr>
            <w:r>
              <w:rPr>
                <w:rFonts w:asciiTheme="minorHAnsi" w:hAnsiTheme="minorHAnsi" w:cstheme="minorHAnsi"/>
              </w:rPr>
              <w:t>Field of View</w:t>
            </w:r>
          </w:p>
        </w:tc>
      </w:tr>
      <w:tr w:rsidR="00DB15E9" w14:paraId="0B6A6827" w14:textId="77777777">
        <w:tc>
          <w:tcPr>
            <w:tcW w:w="1891" w:type="dxa"/>
          </w:tcPr>
          <w:p w14:paraId="2B146C7A" w14:textId="77777777" w:rsidR="00DB15E9" w:rsidRDefault="0078312E">
            <w:pPr>
              <w:spacing w:after="0"/>
              <w:rPr>
                <w:rFonts w:asciiTheme="minorHAnsi" w:hAnsiTheme="minorHAnsi" w:cstheme="minorHAnsi"/>
              </w:rPr>
            </w:pPr>
            <w:r>
              <w:rPr>
                <w:rFonts w:asciiTheme="minorHAnsi" w:hAnsiTheme="minorHAnsi" w:cstheme="minorHAnsi"/>
              </w:rPr>
              <w:t>GCR</w:t>
            </w:r>
          </w:p>
        </w:tc>
        <w:tc>
          <w:tcPr>
            <w:tcW w:w="7469" w:type="dxa"/>
          </w:tcPr>
          <w:p w14:paraId="499244E9" w14:textId="77777777" w:rsidR="00DB15E9" w:rsidRDefault="0078312E">
            <w:pPr>
              <w:spacing w:after="0"/>
              <w:rPr>
                <w:rFonts w:asciiTheme="minorHAnsi" w:hAnsiTheme="minorHAnsi" w:cstheme="minorHAnsi"/>
              </w:rPr>
            </w:pPr>
            <w:r>
              <w:rPr>
                <w:rFonts w:asciiTheme="minorHAnsi" w:hAnsiTheme="minorHAnsi" w:cstheme="minorHAnsi"/>
              </w:rPr>
              <w:t>Galactic Cosmic Ray</w:t>
            </w:r>
          </w:p>
        </w:tc>
      </w:tr>
      <w:tr w:rsidR="00DB15E9" w14:paraId="0C9A29D3" w14:textId="77777777">
        <w:tc>
          <w:tcPr>
            <w:tcW w:w="1891" w:type="dxa"/>
          </w:tcPr>
          <w:p w14:paraId="0C2A5AEA" w14:textId="77777777" w:rsidR="00DB15E9" w:rsidRDefault="0078312E">
            <w:pPr>
              <w:spacing w:after="0"/>
              <w:rPr>
                <w:rFonts w:asciiTheme="minorHAnsi" w:hAnsiTheme="minorHAnsi" w:cstheme="minorHAnsi"/>
              </w:rPr>
            </w:pPr>
            <w:r>
              <w:rPr>
                <w:rFonts w:asciiTheme="minorHAnsi" w:hAnsiTheme="minorHAnsi" w:cstheme="minorHAnsi"/>
              </w:rPr>
              <w:t>GEO</w:t>
            </w:r>
          </w:p>
        </w:tc>
        <w:tc>
          <w:tcPr>
            <w:tcW w:w="7469" w:type="dxa"/>
          </w:tcPr>
          <w:p w14:paraId="4FEE8611" w14:textId="77777777" w:rsidR="00DB15E9" w:rsidRDefault="0078312E">
            <w:pPr>
              <w:spacing w:after="0"/>
              <w:rPr>
                <w:rFonts w:asciiTheme="minorHAnsi" w:hAnsiTheme="minorHAnsi" w:cstheme="minorHAnsi"/>
              </w:rPr>
            </w:pPr>
            <w:r>
              <w:rPr>
                <w:rFonts w:asciiTheme="minorHAnsi" w:hAnsiTheme="minorHAnsi" w:cstheme="minorHAnsi"/>
              </w:rPr>
              <w:t>Geostationary Earth Orbit</w:t>
            </w:r>
          </w:p>
        </w:tc>
      </w:tr>
      <w:tr w:rsidR="00DB15E9" w14:paraId="63DDEAAE" w14:textId="77777777">
        <w:tc>
          <w:tcPr>
            <w:tcW w:w="1891" w:type="dxa"/>
          </w:tcPr>
          <w:p w14:paraId="1143297F" w14:textId="77777777" w:rsidR="00DB15E9" w:rsidRDefault="0078312E">
            <w:pPr>
              <w:spacing w:after="0"/>
              <w:rPr>
                <w:rFonts w:asciiTheme="minorHAnsi" w:hAnsiTheme="minorHAnsi" w:cstheme="minorHAnsi"/>
              </w:rPr>
            </w:pPr>
            <w:r>
              <w:rPr>
                <w:rFonts w:asciiTheme="minorHAnsi" w:hAnsiTheme="minorHAnsi" w:cstheme="minorHAnsi"/>
              </w:rPr>
              <w:t>GEVS</w:t>
            </w:r>
          </w:p>
        </w:tc>
        <w:tc>
          <w:tcPr>
            <w:tcW w:w="7469" w:type="dxa"/>
          </w:tcPr>
          <w:p w14:paraId="589B9632" w14:textId="77777777" w:rsidR="00DB15E9" w:rsidRDefault="0078312E">
            <w:pPr>
              <w:spacing w:after="0"/>
              <w:rPr>
                <w:rFonts w:asciiTheme="minorHAnsi" w:hAnsiTheme="minorHAnsi" w:cstheme="minorHAnsi"/>
              </w:rPr>
            </w:pPr>
            <w:r>
              <w:rPr>
                <w:rFonts w:asciiTheme="minorHAnsi" w:hAnsiTheme="minorHAnsi" w:cstheme="minorHAnsi"/>
              </w:rPr>
              <w:t>General Environmental Verification Standard</w:t>
            </w:r>
          </w:p>
        </w:tc>
      </w:tr>
      <w:tr w:rsidR="00DB15E9" w14:paraId="15CCA996" w14:textId="77777777">
        <w:tc>
          <w:tcPr>
            <w:tcW w:w="1891" w:type="dxa"/>
          </w:tcPr>
          <w:p w14:paraId="53811257" w14:textId="77777777" w:rsidR="00DB15E9" w:rsidRDefault="0078312E">
            <w:pPr>
              <w:spacing w:after="0"/>
              <w:rPr>
                <w:rFonts w:asciiTheme="minorHAnsi" w:hAnsiTheme="minorHAnsi" w:cstheme="minorHAnsi"/>
              </w:rPr>
            </w:pPr>
            <w:r>
              <w:rPr>
                <w:rFonts w:asciiTheme="minorHAnsi" w:hAnsiTheme="minorHAnsi" w:cstheme="minorHAnsi"/>
              </w:rPr>
              <w:t>GIRD</w:t>
            </w:r>
          </w:p>
        </w:tc>
        <w:tc>
          <w:tcPr>
            <w:tcW w:w="7469" w:type="dxa"/>
          </w:tcPr>
          <w:p w14:paraId="19A97A7C" w14:textId="77777777" w:rsidR="00DB15E9" w:rsidRDefault="0078312E">
            <w:pPr>
              <w:spacing w:after="0"/>
              <w:rPr>
                <w:rFonts w:asciiTheme="minorHAnsi" w:hAnsiTheme="minorHAnsi" w:cstheme="minorHAnsi"/>
              </w:rPr>
            </w:pPr>
            <w:r>
              <w:rPr>
                <w:rFonts w:asciiTheme="minorHAnsi" w:hAnsiTheme="minorHAnsi" w:cstheme="minorHAnsi"/>
              </w:rPr>
              <w:t>General Interface Requirements Document</w:t>
            </w:r>
          </w:p>
        </w:tc>
      </w:tr>
      <w:tr w:rsidR="00DB15E9" w14:paraId="5741E8F9" w14:textId="77777777">
        <w:tc>
          <w:tcPr>
            <w:tcW w:w="1891" w:type="dxa"/>
          </w:tcPr>
          <w:p w14:paraId="67929E5B" w14:textId="77777777" w:rsidR="00DB15E9" w:rsidRDefault="0078312E">
            <w:pPr>
              <w:spacing w:after="0"/>
              <w:rPr>
                <w:rFonts w:asciiTheme="minorHAnsi" w:hAnsiTheme="minorHAnsi" w:cstheme="minorHAnsi"/>
              </w:rPr>
            </w:pPr>
            <w:r>
              <w:rPr>
                <w:rFonts w:asciiTheme="minorHAnsi" w:hAnsiTheme="minorHAnsi" w:cstheme="minorHAnsi"/>
              </w:rPr>
              <w:t>GOES</w:t>
            </w:r>
          </w:p>
        </w:tc>
        <w:tc>
          <w:tcPr>
            <w:tcW w:w="7469" w:type="dxa"/>
          </w:tcPr>
          <w:p w14:paraId="7ED1F21B" w14:textId="77777777" w:rsidR="00DB15E9" w:rsidRDefault="0078312E">
            <w:pPr>
              <w:spacing w:after="0"/>
              <w:rPr>
                <w:rFonts w:asciiTheme="minorHAnsi" w:hAnsiTheme="minorHAnsi" w:cstheme="minorHAnsi"/>
              </w:rPr>
            </w:pPr>
            <w:r>
              <w:rPr>
                <w:rFonts w:asciiTheme="minorHAnsi" w:hAnsiTheme="minorHAnsi" w:cstheme="minorHAnsi"/>
              </w:rPr>
              <w:t>Geostationary Operational Environmental Satellites</w:t>
            </w:r>
          </w:p>
        </w:tc>
      </w:tr>
      <w:tr w:rsidR="00DB15E9" w14:paraId="2B8A4845" w14:textId="77777777">
        <w:tc>
          <w:tcPr>
            <w:tcW w:w="1891" w:type="dxa"/>
          </w:tcPr>
          <w:p w14:paraId="16937958" w14:textId="77777777" w:rsidR="00DB15E9" w:rsidRDefault="0078312E">
            <w:pPr>
              <w:spacing w:after="0"/>
              <w:rPr>
                <w:rFonts w:asciiTheme="minorHAnsi" w:hAnsiTheme="minorHAnsi" w:cstheme="minorHAnsi"/>
              </w:rPr>
            </w:pPr>
            <w:r>
              <w:rPr>
                <w:rFonts w:asciiTheme="minorHAnsi" w:hAnsiTheme="minorHAnsi" w:cstheme="minorHAnsi"/>
              </w:rPr>
              <w:t>GSE</w:t>
            </w:r>
          </w:p>
        </w:tc>
        <w:tc>
          <w:tcPr>
            <w:tcW w:w="7469" w:type="dxa"/>
          </w:tcPr>
          <w:p w14:paraId="32A2D320" w14:textId="77777777" w:rsidR="00DB15E9" w:rsidRDefault="0078312E">
            <w:pPr>
              <w:spacing w:after="0"/>
              <w:rPr>
                <w:rFonts w:asciiTheme="minorHAnsi" w:hAnsiTheme="minorHAnsi" w:cstheme="minorHAnsi"/>
              </w:rPr>
            </w:pPr>
            <w:r>
              <w:rPr>
                <w:rFonts w:asciiTheme="minorHAnsi" w:hAnsiTheme="minorHAnsi" w:cstheme="minorHAnsi"/>
              </w:rPr>
              <w:t>Ground Support Equipment</w:t>
            </w:r>
          </w:p>
        </w:tc>
      </w:tr>
      <w:tr w:rsidR="00DB15E9" w14:paraId="1D0126A6" w14:textId="77777777">
        <w:tc>
          <w:tcPr>
            <w:tcW w:w="1891" w:type="dxa"/>
          </w:tcPr>
          <w:p w14:paraId="73034A24" w14:textId="77777777" w:rsidR="00DB15E9" w:rsidRDefault="0078312E">
            <w:pPr>
              <w:spacing w:after="0"/>
              <w:rPr>
                <w:rFonts w:asciiTheme="minorHAnsi" w:hAnsiTheme="minorHAnsi" w:cstheme="minorHAnsi"/>
              </w:rPr>
            </w:pPr>
            <w:r>
              <w:rPr>
                <w:rFonts w:asciiTheme="minorHAnsi" w:hAnsiTheme="minorHAnsi" w:cstheme="minorHAnsi"/>
              </w:rPr>
              <w:t>GSFC</w:t>
            </w:r>
          </w:p>
        </w:tc>
        <w:tc>
          <w:tcPr>
            <w:tcW w:w="7469" w:type="dxa"/>
          </w:tcPr>
          <w:p w14:paraId="6040476E" w14:textId="77777777" w:rsidR="00DB15E9" w:rsidRDefault="0078312E">
            <w:pPr>
              <w:spacing w:after="0"/>
              <w:rPr>
                <w:rFonts w:asciiTheme="minorHAnsi" w:hAnsiTheme="minorHAnsi" w:cstheme="minorHAnsi"/>
              </w:rPr>
            </w:pPr>
            <w:r>
              <w:rPr>
                <w:rFonts w:asciiTheme="minorHAnsi" w:hAnsiTheme="minorHAnsi" w:cstheme="minorHAnsi"/>
              </w:rPr>
              <w:t>Goddard Spaceflight Center</w:t>
            </w:r>
          </w:p>
        </w:tc>
      </w:tr>
      <w:tr w:rsidR="00DB15E9" w14:paraId="6F0A776B" w14:textId="77777777">
        <w:tc>
          <w:tcPr>
            <w:tcW w:w="1891" w:type="dxa"/>
          </w:tcPr>
          <w:p w14:paraId="5034600E" w14:textId="77777777" w:rsidR="00DB15E9" w:rsidRDefault="0078312E">
            <w:pPr>
              <w:spacing w:after="0"/>
              <w:rPr>
                <w:rFonts w:asciiTheme="minorHAnsi" w:hAnsiTheme="minorHAnsi" w:cstheme="minorHAnsi"/>
              </w:rPr>
            </w:pPr>
            <w:r>
              <w:rPr>
                <w:rFonts w:asciiTheme="minorHAnsi" w:hAnsiTheme="minorHAnsi" w:cstheme="minorHAnsi"/>
              </w:rPr>
              <w:t>GTO</w:t>
            </w:r>
          </w:p>
        </w:tc>
        <w:tc>
          <w:tcPr>
            <w:tcW w:w="7469" w:type="dxa"/>
          </w:tcPr>
          <w:p w14:paraId="0455EA4E" w14:textId="77777777" w:rsidR="00DB15E9" w:rsidRDefault="0078312E">
            <w:pPr>
              <w:spacing w:after="0"/>
              <w:rPr>
                <w:rFonts w:asciiTheme="minorHAnsi" w:hAnsiTheme="minorHAnsi" w:cstheme="minorHAnsi"/>
              </w:rPr>
            </w:pPr>
            <w:r>
              <w:rPr>
                <w:rFonts w:asciiTheme="minorHAnsi" w:hAnsiTheme="minorHAnsi" w:cstheme="minorHAnsi"/>
              </w:rPr>
              <w:t>Geostationary Transfer Orbit</w:t>
            </w:r>
          </w:p>
        </w:tc>
      </w:tr>
      <w:tr w:rsidR="00DB15E9" w14:paraId="526C3842" w14:textId="77777777">
        <w:tc>
          <w:tcPr>
            <w:tcW w:w="1891" w:type="dxa"/>
          </w:tcPr>
          <w:p w14:paraId="7F942FD7" w14:textId="77777777" w:rsidR="00DB15E9" w:rsidRDefault="0078312E">
            <w:pPr>
              <w:spacing w:after="0"/>
              <w:rPr>
                <w:rFonts w:asciiTheme="minorHAnsi" w:hAnsiTheme="minorHAnsi" w:cstheme="minorHAnsi"/>
              </w:rPr>
            </w:pPr>
            <w:r>
              <w:rPr>
                <w:rFonts w:asciiTheme="minorHAnsi" w:hAnsiTheme="minorHAnsi" w:cstheme="minorHAnsi"/>
              </w:rPr>
              <w:t>HPIG</w:t>
            </w:r>
          </w:p>
        </w:tc>
        <w:tc>
          <w:tcPr>
            <w:tcW w:w="7469" w:type="dxa"/>
          </w:tcPr>
          <w:p w14:paraId="72FC4190" w14:textId="77777777" w:rsidR="00DB15E9" w:rsidRDefault="0078312E">
            <w:pPr>
              <w:spacing w:after="0"/>
              <w:rPr>
                <w:rFonts w:asciiTheme="minorHAnsi" w:hAnsiTheme="minorHAnsi" w:cstheme="minorHAnsi"/>
              </w:rPr>
            </w:pPr>
            <w:r>
              <w:rPr>
                <w:rFonts w:asciiTheme="minorHAnsi" w:hAnsiTheme="minorHAnsi" w:cstheme="minorHAnsi"/>
              </w:rPr>
              <w:t>Hosted Payload Interface Guide</w:t>
            </w:r>
          </w:p>
        </w:tc>
      </w:tr>
      <w:tr w:rsidR="00DB15E9" w14:paraId="0FDFEF52" w14:textId="77777777">
        <w:tc>
          <w:tcPr>
            <w:tcW w:w="1891" w:type="dxa"/>
          </w:tcPr>
          <w:p w14:paraId="1CB71B10" w14:textId="77777777" w:rsidR="00DB15E9" w:rsidRDefault="0078312E">
            <w:pPr>
              <w:spacing w:after="0"/>
              <w:rPr>
                <w:rFonts w:asciiTheme="minorHAnsi" w:hAnsiTheme="minorHAnsi" w:cstheme="minorHAnsi"/>
              </w:rPr>
            </w:pPr>
            <w:r>
              <w:rPr>
                <w:rFonts w:asciiTheme="minorHAnsi" w:hAnsiTheme="minorHAnsi" w:cstheme="minorHAnsi"/>
              </w:rPr>
              <w:t>HPO</w:t>
            </w:r>
          </w:p>
        </w:tc>
        <w:tc>
          <w:tcPr>
            <w:tcW w:w="7469" w:type="dxa"/>
          </w:tcPr>
          <w:p w14:paraId="3795FB8C" w14:textId="77777777" w:rsidR="00DB15E9" w:rsidRDefault="0078312E">
            <w:pPr>
              <w:spacing w:after="0"/>
              <w:rPr>
                <w:rFonts w:asciiTheme="minorHAnsi" w:hAnsiTheme="minorHAnsi" w:cstheme="minorHAnsi"/>
              </w:rPr>
            </w:pPr>
            <w:r>
              <w:rPr>
                <w:rFonts w:asciiTheme="minorHAnsi" w:hAnsiTheme="minorHAnsi" w:cstheme="minorHAnsi"/>
              </w:rPr>
              <w:t>Hosted Payload Opportunity</w:t>
            </w:r>
          </w:p>
        </w:tc>
      </w:tr>
      <w:tr w:rsidR="00DB15E9" w14:paraId="17E4EEF2" w14:textId="77777777">
        <w:tc>
          <w:tcPr>
            <w:tcW w:w="1891" w:type="dxa"/>
          </w:tcPr>
          <w:p w14:paraId="1CECDEE1" w14:textId="77777777" w:rsidR="00DB15E9" w:rsidRDefault="0078312E">
            <w:pPr>
              <w:spacing w:after="0"/>
              <w:rPr>
                <w:rFonts w:asciiTheme="minorHAnsi" w:hAnsiTheme="minorHAnsi" w:cstheme="minorHAnsi"/>
              </w:rPr>
            </w:pPr>
            <w:r>
              <w:rPr>
                <w:rFonts w:asciiTheme="minorHAnsi" w:hAnsiTheme="minorHAnsi" w:cstheme="minorHAnsi"/>
              </w:rPr>
              <w:t>HPOC</w:t>
            </w:r>
          </w:p>
        </w:tc>
        <w:tc>
          <w:tcPr>
            <w:tcW w:w="7469" w:type="dxa"/>
          </w:tcPr>
          <w:p w14:paraId="462F1928" w14:textId="77777777" w:rsidR="00DB15E9" w:rsidRDefault="0078312E">
            <w:pPr>
              <w:spacing w:after="0"/>
              <w:rPr>
                <w:rFonts w:asciiTheme="minorHAnsi" w:hAnsiTheme="minorHAnsi" w:cstheme="minorHAnsi"/>
              </w:rPr>
            </w:pPr>
            <w:r>
              <w:rPr>
                <w:rFonts w:asciiTheme="minorHAnsi" w:hAnsiTheme="minorHAnsi" w:cstheme="minorHAnsi"/>
              </w:rPr>
              <w:t>Hosted Payload Operations Center</w:t>
            </w:r>
          </w:p>
        </w:tc>
      </w:tr>
      <w:tr w:rsidR="00DB15E9" w14:paraId="05A7AAB8" w14:textId="77777777">
        <w:tc>
          <w:tcPr>
            <w:tcW w:w="1891" w:type="dxa"/>
          </w:tcPr>
          <w:p w14:paraId="44AF8478" w14:textId="77777777" w:rsidR="00DB15E9" w:rsidRDefault="0078312E">
            <w:pPr>
              <w:spacing w:after="0"/>
              <w:rPr>
                <w:rFonts w:asciiTheme="minorHAnsi" w:hAnsiTheme="minorHAnsi" w:cstheme="minorHAnsi"/>
              </w:rPr>
            </w:pPr>
            <w:r>
              <w:rPr>
                <w:rFonts w:asciiTheme="minorHAnsi" w:hAnsiTheme="minorHAnsi" w:cstheme="minorHAnsi"/>
              </w:rPr>
              <w:t>HSOC</w:t>
            </w:r>
          </w:p>
        </w:tc>
        <w:tc>
          <w:tcPr>
            <w:tcW w:w="7469" w:type="dxa"/>
          </w:tcPr>
          <w:p w14:paraId="1C79BF2C" w14:textId="77777777" w:rsidR="00DB15E9" w:rsidRDefault="0078312E">
            <w:pPr>
              <w:spacing w:after="0"/>
              <w:rPr>
                <w:rFonts w:asciiTheme="minorHAnsi" w:hAnsiTheme="minorHAnsi" w:cstheme="minorHAnsi"/>
              </w:rPr>
            </w:pPr>
            <w:r>
              <w:rPr>
                <w:rFonts w:asciiTheme="minorHAnsi" w:hAnsiTheme="minorHAnsi" w:cstheme="minorHAnsi"/>
              </w:rPr>
              <w:t>Host Spacecraft Operations Center</w:t>
            </w:r>
          </w:p>
        </w:tc>
      </w:tr>
      <w:tr w:rsidR="00DB15E9" w14:paraId="211A29C5" w14:textId="77777777">
        <w:tc>
          <w:tcPr>
            <w:tcW w:w="1891" w:type="dxa"/>
          </w:tcPr>
          <w:p w14:paraId="0C4CFD02" w14:textId="77777777" w:rsidR="00DB15E9" w:rsidRDefault="0078312E">
            <w:pPr>
              <w:spacing w:after="0"/>
              <w:rPr>
                <w:rFonts w:asciiTheme="minorHAnsi" w:hAnsiTheme="minorHAnsi" w:cstheme="minorHAnsi"/>
              </w:rPr>
            </w:pPr>
            <w:r>
              <w:rPr>
                <w:rFonts w:asciiTheme="minorHAnsi" w:hAnsiTheme="minorHAnsi" w:cstheme="minorHAnsi"/>
              </w:rPr>
              <w:t>I&amp;T</w:t>
            </w:r>
          </w:p>
        </w:tc>
        <w:tc>
          <w:tcPr>
            <w:tcW w:w="7469" w:type="dxa"/>
          </w:tcPr>
          <w:p w14:paraId="0092F6FE" w14:textId="77777777" w:rsidR="00DB15E9" w:rsidRDefault="0078312E">
            <w:pPr>
              <w:spacing w:after="0"/>
              <w:rPr>
                <w:rFonts w:asciiTheme="minorHAnsi" w:hAnsiTheme="minorHAnsi" w:cstheme="minorHAnsi"/>
              </w:rPr>
            </w:pPr>
            <w:r>
              <w:rPr>
                <w:rFonts w:asciiTheme="minorHAnsi" w:hAnsiTheme="minorHAnsi" w:cstheme="minorHAnsi"/>
              </w:rPr>
              <w:t>Integration and Test</w:t>
            </w:r>
          </w:p>
        </w:tc>
      </w:tr>
      <w:tr w:rsidR="00DB15E9" w14:paraId="19ECA633" w14:textId="77777777">
        <w:tc>
          <w:tcPr>
            <w:tcW w:w="1891" w:type="dxa"/>
          </w:tcPr>
          <w:p w14:paraId="03C12697" w14:textId="77777777" w:rsidR="00DB15E9" w:rsidRDefault="0078312E">
            <w:pPr>
              <w:spacing w:after="0"/>
              <w:rPr>
                <w:rFonts w:asciiTheme="minorHAnsi" w:hAnsiTheme="minorHAnsi" w:cstheme="minorHAnsi"/>
              </w:rPr>
            </w:pPr>
            <w:r>
              <w:rPr>
                <w:rFonts w:asciiTheme="minorHAnsi" w:hAnsiTheme="minorHAnsi" w:cstheme="minorHAnsi"/>
              </w:rPr>
              <w:t>IAC</w:t>
            </w:r>
          </w:p>
        </w:tc>
        <w:tc>
          <w:tcPr>
            <w:tcW w:w="7469" w:type="dxa"/>
          </w:tcPr>
          <w:p w14:paraId="23F21A6E" w14:textId="77777777" w:rsidR="00DB15E9" w:rsidRDefault="0078312E">
            <w:pPr>
              <w:spacing w:after="0"/>
              <w:rPr>
                <w:rFonts w:asciiTheme="minorHAnsi" w:hAnsiTheme="minorHAnsi" w:cstheme="minorHAnsi"/>
              </w:rPr>
            </w:pPr>
            <w:r>
              <w:rPr>
                <w:rFonts w:asciiTheme="minorHAnsi" w:hAnsiTheme="minorHAnsi" w:cstheme="minorHAnsi"/>
              </w:rPr>
              <w:t>Interface Alignment Cube</w:t>
            </w:r>
          </w:p>
        </w:tc>
      </w:tr>
      <w:tr w:rsidR="00DB15E9" w14:paraId="16A9C7AB" w14:textId="77777777">
        <w:tc>
          <w:tcPr>
            <w:tcW w:w="1891" w:type="dxa"/>
          </w:tcPr>
          <w:p w14:paraId="26B09F26" w14:textId="77777777" w:rsidR="00DB15E9" w:rsidRDefault="0078312E">
            <w:pPr>
              <w:spacing w:after="0"/>
              <w:rPr>
                <w:rFonts w:asciiTheme="minorHAnsi" w:hAnsiTheme="minorHAnsi" w:cstheme="minorHAnsi"/>
              </w:rPr>
            </w:pPr>
            <w:r>
              <w:rPr>
                <w:rFonts w:asciiTheme="minorHAnsi" w:hAnsiTheme="minorHAnsi" w:cstheme="minorHAnsi"/>
              </w:rPr>
              <w:t>ICD</w:t>
            </w:r>
          </w:p>
        </w:tc>
        <w:tc>
          <w:tcPr>
            <w:tcW w:w="7469" w:type="dxa"/>
          </w:tcPr>
          <w:p w14:paraId="60D641DE" w14:textId="77777777" w:rsidR="00DB15E9" w:rsidRDefault="0078312E">
            <w:pPr>
              <w:spacing w:after="0"/>
              <w:rPr>
                <w:rFonts w:asciiTheme="minorHAnsi" w:hAnsiTheme="minorHAnsi" w:cstheme="minorHAnsi"/>
              </w:rPr>
            </w:pPr>
            <w:r>
              <w:rPr>
                <w:rFonts w:asciiTheme="minorHAnsi" w:hAnsiTheme="minorHAnsi" w:cstheme="minorHAnsi"/>
              </w:rPr>
              <w:t>Interface Control Document</w:t>
            </w:r>
          </w:p>
        </w:tc>
      </w:tr>
      <w:tr w:rsidR="00DB15E9" w14:paraId="66CC410B" w14:textId="77777777">
        <w:tc>
          <w:tcPr>
            <w:tcW w:w="1891" w:type="dxa"/>
          </w:tcPr>
          <w:p w14:paraId="0A5D9708" w14:textId="77777777" w:rsidR="00DB15E9" w:rsidRDefault="0078312E">
            <w:pPr>
              <w:spacing w:after="0"/>
              <w:rPr>
                <w:rFonts w:asciiTheme="minorHAnsi" w:hAnsiTheme="minorHAnsi" w:cstheme="minorHAnsi"/>
              </w:rPr>
            </w:pPr>
            <w:r>
              <w:rPr>
                <w:rFonts w:asciiTheme="minorHAnsi" w:hAnsiTheme="minorHAnsi" w:cstheme="minorHAnsi"/>
              </w:rPr>
              <w:t>KDP</w:t>
            </w:r>
          </w:p>
        </w:tc>
        <w:tc>
          <w:tcPr>
            <w:tcW w:w="7469" w:type="dxa"/>
          </w:tcPr>
          <w:p w14:paraId="4377D251" w14:textId="77777777" w:rsidR="00DB15E9" w:rsidRDefault="0078312E">
            <w:pPr>
              <w:spacing w:after="0"/>
              <w:rPr>
                <w:rFonts w:asciiTheme="minorHAnsi" w:hAnsiTheme="minorHAnsi" w:cstheme="minorHAnsi"/>
              </w:rPr>
            </w:pPr>
            <w:r>
              <w:rPr>
                <w:rFonts w:asciiTheme="minorHAnsi" w:hAnsiTheme="minorHAnsi" w:cstheme="minorHAnsi"/>
              </w:rPr>
              <w:t>Key Decision Point</w:t>
            </w:r>
          </w:p>
        </w:tc>
      </w:tr>
      <w:tr w:rsidR="00DB15E9" w14:paraId="4B25BF19" w14:textId="77777777">
        <w:tc>
          <w:tcPr>
            <w:tcW w:w="1891" w:type="dxa"/>
          </w:tcPr>
          <w:p w14:paraId="44E8381C" w14:textId="77777777" w:rsidR="00DB15E9" w:rsidRDefault="0078312E">
            <w:pPr>
              <w:spacing w:after="0"/>
              <w:rPr>
                <w:rFonts w:asciiTheme="minorHAnsi" w:hAnsiTheme="minorHAnsi" w:cstheme="minorHAnsi"/>
              </w:rPr>
            </w:pPr>
            <w:r>
              <w:rPr>
                <w:rFonts w:asciiTheme="minorHAnsi" w:hAnsiTheme="minorHAnsi" w:cstheme="minorHAnsi"/>
              </w:rPr>
              <w:t>LEO</w:t>
            </w:r>
          </w:p>
        </w:tc>
        <w:tc>
          <w:tcPr>
            <w:tcW w:w="7469" w:type="dxa"/>
          </w:tcPr>
          <w:p w14:paraId="1BBD6058" w14:textId="77777777" w:rsidR="00DB15E9" w:rsidRDefault="0078312E">
            <w:pPr>
              <w:spacing w:after="0"/>
              <w:rPr>
                <w:rFonts w:asciiTheme="minorHAnsi" w:hAnsiTheme="minorHAnsi" w:cstheme="minorHAnsi"/>
              </w:rPr>
            </w:pPr>
            <w:r>
              <w:rPr>
                <w:rFonts w:asciiTheme="minorHAnsi" w:hAnsiTheme="minorHAnsi" w:cstheme="minorHAnsi"/>
              </w:rPr>
              <w:t>Low Earth Orbit</w:t>
            </w:r>
          </w:p>
        </w:tc>
      </w:tr>
      <w:tr w:rsidR="00DB15E9" w14:paraId="7E46F111" w14:textId="77777777">
        <w:tc>
          <w:tcPr>
            <w:tcW w:w="1891" w:type="dxa"/>
          </w:tcPr>
          <w:p w14:paraId="02210597" w14:textId="77777777" w:rsidR="00DB15E9" w:rsidRDefault="0078312E">
            <w:pPr>
              <w:spacing w:after="0"/>
              <w:rPr>
                <w:rFonts w:asciiTheme="minorHAnsi" w:hAnsiTheme="minorHAnsi" w:cstheme="minorHAnsi"/>
              </w:rPr>
            </w:pPr>
            <w:r>
              <w:rPr>
                <w:rFonts w:asciiTheme="minorHAnsi" w:hAnsiTheme="minorHAnsi" w:cstheme="minorHAnsi"/>
              </w:rPr>
              <w:t>LET</w:t>
            </w:r>
          </w:p>
        </w:tc>
        <w:tc>
          <w:tcPr>
            <w:tcW w:w="7469" w:type="dxa"/>
          </w:tcPr>
          <w:p w14:paraId="47E02DB9" w14:textId="77777777" w:rsidR="00DB15E9" w:rsidRDefault="0078312E">
            <w:pPr>
              <w:spacing w:after="0"/>
              <w:rPr>
                <w:rFonts w:asciiTheme="minorHAnsi" w:hAnsiTheme="minorHAnsi" w:cstheme="minorHAnsi"/>
              </w:rPr>
            </w:pPr>
            <w:r>
              <w:rPr>
                <w:rFonts w:asciiTheme="minorHAnsi" w:hAnsiTheme="minorHAnsi" w:cstheme="minorHAnsi"/>
              </w:rPr>
              <w:t>Linear Energy Transfer</w:t>
            </w:r>
          </w:p>
        </w:tc>
      </w:tr>
      <w:tr w:rsidR="00DB15E9" w14:paraId="6F4731DA" w14:textId="77777777">
        <w:tc>
          <w:tcPr>
            <w:tcW w:w="1891" w:type="dxa"/>
          </w:tcPr>
          <w:p w14:paraId="029B0860" w14:textId="77777777" w:rsidR="00DB15E9" w:rsidRDefault="0078312E">
            <w:pPr>
              <w:spacing w:after="0"/>
              <w:rPr>
                <w:rFonts w:asciiTheme="minorHAnsi" w:hAnsiTheme="minorHAnsi" w:cstheme="minorHAnsi"/>
              </w:rPr>
            </w:pPr>
            <w:r>
              <w:rPr>
                <w:rFonts w:asciiTheme="minorHAnsi" w:hAnsiTheme="minorHAnsi" w:cstheme="minorHAnsi"/>
              </w:rPr>
              <w:lastRenderedPageBreak/>
              <w:t>LVDS</w:t>
            </w:r>
          </w:p>
        </w:tc>
        <w:tc>
          <w:tcPr>
            <w:tcW w:w="7469" w:type="dxa"/>
          </w:tcPr>
          <w:p w14:paraId="109CED45" w14:textId="77777777" w:rsidR="00DB15E9" w:rsidRDefault="0078312E">
            <w:pPr>
              <w:spacing w:after="0"/>
              <w:rPr>
                <w:rFonts w:asciiTheme="minorHAnsi" w:hAnsiTheme="minorHAnsi" w:cstheme="minorHAnsi"/>
              </w:rPr>
            </w:pPr>
            <w:r>
              <w:rPr>
                <w:rFonts w:asciiTheme="minorHAnsi" w:hAnsiTheme="minorHAnsi" w:cstheme="minorHAnsi"/>
              </w:rPr>
              <w:t>Low Voltage Differential Signaling</w:t>
            </w:r>
          </w:p>
        </w:tc>
      </w:tr>
      <w:tr w:rsidR="00DB15E9" w14:paraId="1A47587B" w14:textId="77777777">
        <w:tc>
          <w:tcPr>
            <w:tcW w:w="1891" w:type="dxa"/>
          </w:tcPr>
          <w:p w14:paraId="19507B79" w14:textId="77777777" w:rsidR="00DB15E9" w:rsidRDefault="0078312E">
            <w:pPr>
              <w:spacing w:after="0"/>
              <w:rPr>
                <w:rFonts w:asciiTheme="minorHAnsi" w:hAnsiTheme="minorHAnsi" w:cstheme="minorHAnsi"/>
              </w:rPr>
            </w:pPr>
            <w:r>
              <w:rPr>
                <w:rFonts w:asciiTheme="minorHAnsi" w:hAnsiTheme="minorHAnsi" w:cstheme="minorHAnsi"/>
              </w:rPr>
              <w:t>MAC</w:t>
            </w:r>
          </w:p>
        </w:tc>
        <w:tc>
          <w:tcPr>
            <w:tcW w:w="7469" w:type="dxa"/>
          </w:tcPr>
          <w:p w14:paraId="3F9D8D6D" w14:textId="77777777" w:rsidR="00DB15E9" w:rsidRDefault="0078312E">
            <w:pPr>
              <w:spacing w:after="0"/>
              <w:rPr>
                <w:rFonts w:asciiTheme="minorHAnsi" w:hAnsiTheme="minorHAnsi" w:cstheme="minorHAnsi"/>
              </w:rPr>
            </w:pPr>
            <w:r>
              <w:rPr>
                <w:rFonts w:asciiTheme="minorHAnsi" w:hAnsiTheme="minorHAnsi" w:cstheme="minorHAnsi"/>
              </w:rPr>
              <w:t>Mass Acceleration Curve</w:t>
            </w:r>
          </w:p>
        </w:tc>
      </w:tr>
      <w:tr w:rsidR="00DB15E9" w14:paraId="38FB0A99" w14:textId="77777777">
        <w:tc>
          <w:tcPr>
            <w:tcW w:w="1891" w:type="dxa"/>
          </w:tcPr>
          <w:p w14:paraId="3E1A1DE8" w14:textId="77777777" w:rsidR="00DB15E9" w:rsidRDefault="0078312E">
            <w:pPr>
              <w:spacing w:after="0"/>
              <w:rPr>
                <w:rFonts w:asciiTheme="minorHAnsi" w:hAnsiTheme="minorHAnsi" w:cstheme="minorHAnsi"/>
              </w:rPr>
            </w:pPr>
            <w:r>
              <w:rPr>
                <w:rFonts w:asciiTheme="minorHAnsi" w:hAnsiTheme="minorHAnsi" w:cstheme="minorHAnsi"/>
              </w:rPr>
              <w:t>MICD</w:t>
            </w:r>
          </w:p>
        </w:tc>
        <w:tc>
          <w:tcPr>
            <w:tcW w:w="7469" w:type="dxa"/>
          </w:tcPr>
          <w:p w14:paraId="0AFA221B" w14:textId="77777777" w:rsidR="00DB15E9" w:rsidRDefault="0078312E">
            <w:pPr>
              <w:spacing w:after="0"/>
              <w:rPr>
                <w:rFonts w:asciiTheme="minorHAnsi" w:hAnsiTheme="minorHAnsi" w:cstheme="minorHAnsi"/>
              </w:rPr>
            </w:pPr>
            <w:r>
              <w:rPr>
                <w:rFonts w:asciiTheme="minorHAnsi" w:hAnsiTheme="minorHAnsi" w:cstheme="minorHAnsi"/>
              </w:rPr>
              <w:t>Mechanical ICD</w:t>
            </w:r>
          </w:p>
        </w:tc>
      </w:tr>
      <w:tr w:rsidR="00DB15E9" w14:paraId="5B935A48" w14:textId="77777777">
        <w:tc>
          <w:tcPr>
            <w:tcW w:w="1891" w:type="dxa"/>
          </w:tcPr>
          <w:p w14:paraId="11D2708B" w14:textId="77777777" w:rsidR="00DB15E9" w:rsidRDefault="0078312E">
            <w:pPr>
              <w:spacing w:after="0"/>
              <w:rPr>
                <w:rFonts w:asciiTheme="minorHAnsi" w:hAnsiTheme="minorHAnsi" w:cstheme="minorHAnsi"/>
              </w:rPr>
            </w:pPr>
            <w:r>
              <w:rPr>
                <w:rFonts w:asciiTheme="minorHAnsi" w:hAnsiTheme="minorHAnsi" w:cstheme="minorHAnsi"/>
              </w:rPr>
              <w:t>MLI</w:t>
            </w:r>
          </w:p>
        </w:tc>
        <w:tc>
          <w:tcPr>
            <w:tcW w:w="7469" w:type="dxa"/>
          </w:tcPr>
          <w:p w14:paraId="5134399F" w14:textId="77777777" w:rsidR="00DB15E9" w:rsidRDefault="0078312E">
            <w:pPr>
              <w:spacing w:after="0"/>
              <w:rPr>
                <w:rFonts w:asciiTheme="minorHAnsi" w:hAnsiTheme="minorHAnsi" w:cstheme="minorHAnsi"/>
              </w:rPr>
            </w:pPr>
            <w:r>
              <w:rPr>
                <w:rFonts w:asciiTheme="minorHAnsi" w:hAnsiTheme="minorHAnsi" w:cstheme="minorHAnsi"/>
              </w:rPr>
              <w:t>Multi-layer Insulation</w:t>
            </w:r>
          </w:p>
        </w:tc>
      </w:tr>
      <w:tr w:rsidR="00DB15E9" w14:paraId="53EDB21A" w14:textId="77777777">
        <w:tc>
          <w:tcPr>
            <w:tcW w:w="1891" w:type="dxa"/>
          </w:tcPr>
          <w:p w14:paraId="3EFB6DF9" w14:textId="77777777" w:rsidR="00DB15E9" w:rsidRDefault="0078312E">
            <w:pPr>
              <w:spacing w:after="0"/>
              <w:rPr>
                <w:rFonts w:asciiTheme="minorHAnsi" w:hAnsiTheme="minorHAnsi" w:cstheme="minorHAnsi"/>
              </w:rPr>
            </w:pPr>
            <w:r>
              <w:rPr>
                <w:rFonts w:asciiTheme="minorHAnsi" w:hAnsiTheme="minorHAnsi" w:cstheme="minorHAnsi"/>
              </w:rPr>
              <w:t>NDE</w:t>
            </w:r>
          </w:p>
        </w:tc>
        <w:tc>
          <w:tcPr>
            <w:tcW w:w="7469" w:type="dxa"/>
          </w:tcPr>
          <w:p w14:paraId="4EB6BFEC" w14:textId="77777777" w:rsidR="00DB15E9" w:rsidRDefault="0078312E">
            <w:pPr>
              <w:spacing w:after="0"/>
              <w:rPr>
                <w:rFonts w:asciiTheme="minorHAnsi" w:hAnsiTheme="minorHAnsi" w:cstheme="minorHAnsi"/>
              </w:rPr>
            </w:pPr>
            <w:r>
              <w:rPr>
                <w:rFonts w:asciiTheme="minorHAnsi" w:hAnsiTheme="minorHAnsi" w:cstheme="minorHAnsi"/>
              </w:rPr>
              <w:t>Non-Destructive Evaluation</w:t>
            </w:r>
          </w:p>
        </w:tc>
      </w:tr>
      <w:tr w:rsidR="00DB15E9" w14:paraId="71577823" w14:textId="77777777">
        <w:tc>
          <w:tcPr>
            <w:tcW w:w="1891" w:type="dxa"/>
          </w:tcPr>
          <w:p w14:paraId="60D66277" w14:textId="77777777" w:rsidR="00DB15E9" w:rsidRDefault="0078312E">
            <w:pPr>
              <w:spacing w:after="0"/>
              <w:rPr>
                <w:rFonts w:asciiTheme="minorHAnsi" w:hAnsiTheme="minorHAnsi" w:cstheme="minorHAnsi"/>
              </w:rPr>
            </w:pPr>
            <w:r>
              <w:rPr>
                <w:rFonts w:asciiTheme="minorHAnsi" w:hAnsiTheme="minorHAnsi" w:cstheme="minorHAnsi"/>
              </w:rPr>
              <w:t>NICM</w:t>
            </w:r>
          </w:p>
        </w:tc>
        <w:tc>
          <w:tcPr>
            <w:tcW w:w="7469" w:type="dxa"/>
          </w:tcPr>
          <w:p w14:paraId="1B8C52F6" w14:textId="77777777" w:rsidR="00DB15E9" w:rsidRDefault="0078312E">
            <w:pPr>
              <w:spacing w:after="0"/>
              <w:rPr>
                <w:rFonts w:asciiTheme="minorHAnsi" w:hAnsiTheme="minorHAnsi" w:cstheme="minorHAnsi"/>
              </w:rPr>
            </w:pPr>
            <w:r>
              <w:rPr>
                <w:rFonts w:asciiTheme="minorHAnsi" w:hAnsiTheme="minorHAnsi" w:cstheme="minorHAnsi"/>
              </w:rPr>
              <w:t>NASA Instrument Cost Model</w:t>
            </w:r>
          </w:p>
        </w:tc>
      </w:tr>
      <w:tr w:rsidR="00DB15E9" w14:paraId="557420F8" w14:textId="77777777">
        <w:tc>
          <w:tcPr>
            <w:tcW w:w="1891" w:type="dxa"/>
          </w:tcPr>
          <w:p w14:paraId="43A8CF93" w14:textId="77777777" w:rsidR="00DB15E9" w:rsidRDefault="0078312E">
            <w:pPr>
              <w:spacing w:after="0"/>
              <w:rPr>
                <w:rFonts w:asciiTheme="minorHAnsi" w:hAnsiTheme="minorHAnsi" w:cstheme="minorHAnsi"/>
              </w:rPr>
            </w:pPr>
            <w:r>
              <w:rPr>
                <w:rFonts w:asciiTheme="minorHAnsi" w:hAnsiTheme="minorHAnsi" w:cstheme="minorHAnsi"/>
              </w:rPr>
              <w:t>NPR</w:t>
            </w:r>
          </w:p>
        </w:tc>
        <w:tc>
          <w:tcPr>
            <w:tcW w:w="7469" w:type="dxa"/>
          </w:tcPr>
          <w:p w14:paraId="3E3013CB" w14:textId="77777777" w:rsidR="00DB15E9" w:rsidRDefault="0078312E">
            <w:pPr>
              <w:spacing w:after="0"/>
              <w:rPr>
                <w:rFonts w:asciiTheme="minorHAnsi" w:hAnsiTheme="minorHAnsi" w:cstheme="minorHAnsi"/>
              </w:rPr>
            </w:pPr>
            <w:r>
              <w:rPr>
                <w:rFonts w:asciiTheme="minorHAnsi" w:hAnsiTheme="minorHAnsi" w:cstheme="minorHAnsi"/>
              </w:rPr>
              <w:t>NASA Procedural Requirement</w:t>
            </w:r>
          </w:p>
        </w:tc>
      </w:tr>
      <w:tr w:rsidR="00DB15E9" w14:paraId="0CB4BB1B" w14:textId="77777777">
        <w:tc>
          <w:tcPr>
            <w:tcW w:w="1891" w:type="dxa"/>
          </w:tcPr>
          <w:p w14:paraId="6321BC35" w14:textId="77777777" w:rsidR="00DB15E9" w:rsidRDefault="0078312E">
            <w:pPr>
              <w:spacing w:after="0"/>
              <w:rPr>
                <w:rFonts w:asciiTheme="minorHAnsi" w:hAnsiTheme="minorHAnsi" w:cstheme="minorHAnsi"/>
              </w:rPr>
            </w:pPr>
            <w:r>
              <w:rPr>
                <w:rFonts w:asciiTheme="minorHAnsi" w:hAnsiTheme="minorHAnsi" w:cstheme="minorHAnsi"/>
              </w:rPr>
              <w:t>NTIA</w:t>
            </w:r>
          </w:p>
        </w:tc>
        <w:tc>
          <w:tcPr>
            <w:tcW w:w="7469" w:type="dxa"/>
          </w:tcPr>
          <w:p w14:paraId="203E2F99" w14:textId="77777777" w:rsidR="00DB15E9" w:rsidRDefault="0078312E">
            <w:pPr>
              <w:spacing w:after="0"/>
              <w:rPr>
                <w:rFonts w:asciiTheme="minorHAnsi" w:hAnsiTheme="minorHAnsi" w:cstheme="minorHAnsi"/>
              </w:rPr>
            </w:pPr>
            <w:r>
              <w:rPr>
                <w:rFonts w:asciiTheme="minorHAnsi" w:hAnsiTheme="minorHAnsi" w:cstheme="minorHAnsi"/>
              </w:rPr>
              <w:t>National Telecommunications and Information Administration</w:t>
            </w:r>
          </w:p>
        </w:tc>
      </w:tr>
      <w:tr w:rsidR="00DB15E9" w14:paraId="14C2EAF5" w14:textId="77777777">
        <w:tc>
          <w:tcPr>
            <w:tcW w:w="1891" w:type="dxa"/>
          </w:tcPr>
          <w:p w14:paraId="0C7AA8F8" w14:textId="77777777" w:rsidR="00DB15E9" w:rsidRDefault="0078312E">
            <w:pPr>
              <w:spacing w:after="0"/>
              <w:rPr>
                <w:rFonts w:asciiTheme="minorHAnsi" w:hAnsiTheme="minorHAnsi" w:cstheme="minorHAnsi"/>
              </w:rPr>
            </w:pPr>
            <w:r>
              <w:rPr>
                <w:rFonts w:asciiTheme="minorHAnsi" w:hAnsiTheme="minorHAnsi" w:cstheme="minorHAnsi"/>
              </w:rPr>
              <w:t>OAP</w:t>
            </w:r>
          </w:p>
        </w:tc>
        <w:tc>
          <w:tcPr>
            <w:tcW w:w="7469" w:type="dxa"/>
          </w:tcPr>
          <w:p w14:paraId="58B0E15F" w14:textId="77777777" w:rsidR="00DB15E9" w:rsidRDefault="0078312E">
            <w:pPr>
              <w:spacing w:after="0"/>
              <w:rPr>
                <w:rFonts w:asciiTheme="minorHAnsi" w:hAnsiTheme="minorHAnsi" w:cstheme="minorHAnsi"/>
              </w:rPr>
            </w:pPr>
            <w:r>
              <w:rPr>
                <w:rFonts w:asciiTheme="minorHAnsi" w:hAnsiTheme="minorHAnsi" w:cstheme="minorHAnsi"/>
              </w:rPr>
              <w:t>Orbital Average Power</w:t>
            </w:r>
          </w:p>
        </w:tc>
      </w:tr>
      <w:tr w:rsidR="00DB15E9" w14:paraId="6D2E5C3A" w14:textId="77777777">
        <w:tc>
          <w:tcPr>
            <w:tcW w:w="1891" w:type="dxa"/>
          </w:tcPr>
          <w:p w14:paraId="14BC6CA2" w14:textId="77777777" w:rsidR="00DB15E9" w:rsidRDefault="0078312E">
            <w:pPr>
              <w:spacing w:after="0"/>
              <w:rPr>
                <w:rFonts w:asciiTheme="minorHAnsi" w:hAnsiTheme="minorHAnsi" w:cstheme="minorHAnsi"/>
              </w:rPr>
            </w:pPr>
            <w:r>
              <w:rPr>
                <w:rFonts w:asciiTheme="minorHAnsi" w:hAnsiTheme="minorHAnsi" w:cstheme="minorHAnsi"/>
              </w:rPr>
              <w:t>PI</w:t>
            </w:r>
          </w:p>
        </w:tc>
        <w:tc>
          <w:tcPr>
            <w:tcW w:w="7469" w:type="dxa"/>
          </w:tcPr>
          <w:p w14:paraId="1BA03C19" w14:textId="77777777" w:rsidR="00DB15E9" w:rsidRDefault="0078312E">
            <w:pPr>
              <w:spacing w:after="0"/>
              <w:rPr>
                <w:rFonts w:asciiTheme="minorHAnsi" w:hAnsiTheme="minorHAnsi" w:cstheme="minorHAnsi"/>
              </w:rPr>
            </w:pPr>
            <w:r>
              <w:rPr>
                <w:rFonts w:asciiTheme="minorHAnsi" w:hAnsiTheme="minorHAnsi" w:cstheme="minorHAnsi"/>
              </w:rPr>
              <w:t>Principal Investigator</w:t>
            </w:r>
          </w:p>
        </w:tc>
      </w:tr>
      <w:tr w:rsidR="00DB15E9" w14:paraId="76E2FC6D" w14:textId="77777777">
        <w:tc>
          <w:tcPr>
            <w:tcW w:w="1891" w:type="dxa"/>
          </w:tcPr>
          <w:p w14:paraId="26951269" w14:textId="77777777" w:rsidR="00DB15E9" w:rsidRDefault="0078312E">
            <w:pPr>
              <w:spacing w:after="0"/>
              <w:rPr>
                <w:rFonts w:asciiTheme="minorHAnsi" w:hAnsiTheme="minorHAnsi" w:cstheme="minorHAnsi"/>
              </w:rPr>
            </w:pPr>
            <w:r>
              <w:rPr>
                <w:rFonts w:asciiTheme="minorHAnsi" w:hAnsiTheme="minorHAnsi" w:cstheme="minorHAnsi"/>
              </w:rPr>
              <w:t>PPL</w:t>
            </w:r>
          </w:p>
        </w:tc>
        <w:tc>
          <w:tcPr>
            <w:tcW w:w="7469" w:type="dxa"/>
          </w:tcPr>
          <w:p w14:paraId="3FF00B01" w14:textId="77777777" w:rsidR="00DB15E9" w:rsidRDefault="0078312E">
            <w:pPr>
              <w:spacing w:after="0"/>
              <w:rPr>
                <w:rFonts w:asciiTheme="minorHAnsi" w:hAnsiTheme="minorHAnsi" w:cstheme="minorHAnsi"/>
              </w:rPr>
            </w:pPr>
            <w:r>
              <w:rPr>
                <w:rFonts w:asciiTheme="minorHAnsi" w:hAnsiTheme="minorHAnsi" w:cstheme="minorHAnsi"/>
              </w:rPr>
              <w:t>Preferred Parts List</w:t>
            </w:r>
          </w:p>
        </w:tc>
      </w:tr>
      <w:tr w:rsidR="00DB15E9" w14:paraId="4DD4200F" w14:textId="77777777">
        <w:tc>
          <w:tcPr>
            <w:tcW w:w="1891" w:type="dxa"/>
          </w:tcPr>
          <w:p w14:paraId="7CFAE458" w14:textId="77777777" w:rsidR="00DB15E9" w:rsidRDefault="0078312E">
            <w:pPr>
              <w:spacing w:after="0"/>
              <w:rPr>
                <w:rFonts w:asciiTheme="minorHAnsi" w:hAnsiTheme="minorHAnsi" w:cstheme="minorHAnsi"/>
              </w:rPr>
            </w:pPr>
            <w:r>
              <w:rPr>
                <w:rFonts w:asciiTheme="minorHAnsi" w:hAnsiTheme="minorHAnsi" w:cstheme="minorHAnsi"/>
              </w:rPr>
              <w:t>PPS</w:t>
            </w:r>
          </w:p>
        </w:tc>
        <w:tc>
          <w:tcPr>
            <w:tcW w:w="7469" w:type="dxa"/>
          </w:tcPr>
          <w:p w14:paraId="401702D3" w14:textId="77777777" w:rsidR="00DB15E9" w:rsidRDefault="0078312E">
            <w:pPr>
              <w:spacing w:after="0"/>
              <w:rPr>
                <w:rFonts w:asciiTheme="minorHAnsi" w:hAnsiTheme="minorHAnsi" w:cstheme="minorHAnsi"/>
              </w:rPr>
            </w:pPr>
            <w:r>
              <w:rPr>
                <w:rFonts w:asciiTheme="minorHAnsi" w:hAnsiTheme="minorHAnsi" w:cstheme="minorHAnsi"/>
              </w:rPr>
              <w:t>Pulse Per Second</w:t>
            </w:r>
          </w:p>
        </w:tc>
      </w:tr>
      <w:tr w:rsidR="00DB15E9" w14:paraId="7D49962D" w14:textId="77777777">
        <w:tc>
          <w:tcPr>
            <w:tcW w:w="1891" w:type="dxa"/>
          </w:tcPr>
          <w:p w14:paraId="5DDEBD42" w14:textId="77777777" w:rsidR="00DB15E9" w:rsidRDefault="0078312E">
            <w:pPr>
              <w:spacing w:after="0"/>
              <w:rPr>
                <w:rFonts w:asciiTheme="minorHAnsi" w:hAnsiTheme="minorHAnsi" w:cstheme="minorHAnsi"/>
              </w:rPr>
            </w:pPr>
            <w:r>
              <w:rPr>
                <w:rFonts w:asciiTheme="minorHAnsi" w:hAnsiTheme="minorHAnsi" w:cstheme="minorHAnsi"/>
              </w:rPr>
              <w:t>RDM</w:t>
            </w:r>
          </w:p>
        </w:tc>
        <w:tc>
          <w:tcPr>
            <w:tcW w:w="7469" w:type="dxa"/>
          </w:tcPr>
          <w:p w14:paraId="450F76B3" w14:textId="77777777" w:rsidR="00DB15E9" w:rsidRDefault="0078312E">
            <w:pPr>
              <w:spacing w:after="0"/>
              <w:rPr>
                <w:rFonts w:asciiTheme="minorHAnsi" w:hAnsiTheme="minorHAnsi" w:cstheme="minorHAnsi"/>
              </w:rPr>
            </w:pPr>
            <w:r>
              <w:rPr>
                <w:rFonts w:asciiTheme="minorHAnsi" w:hAnsiTheme="minorHAnsi" w:cstheme="minorHAnsi"/>
              </w:rPr>
              <w:t>Radiation Design Margin</w:t>
            </w:r>
          </w:p>
        </w:tc>
      </w:tr>
      <w:tr w:rsidR="00DB15E9" w14:paraId="0C1A906E" w14:textId="77777777">
        <w:tc>
          <w:tcPr>
            <w:tcW w:w="1891" w:type="dxa"/>
          </w:tcPr>
          <w:p w14:paraId="0B1344CC" w14:textId="77777777" w:rsidR="00DB15E9" w:rsidRDefault="0078312E">
            <w:pPr>
              <w:spacing w:after="0"/>
              <w:rPr>
                <w:rFonts w:asciiTheme="minorHAnsi" w:hAnsiTheme="minorHAnsi" w:cstheme="minorHAnsi"/>
              </w:rPr>
            </w:pPr>
            <w:r>
              <w:rPr>
                <w:rFonts w:asciiTheme="minorHAnsi" w:hAnsiTheme="minorHAnsi" w:cstheme="minorHAnsi"/>
              </w:rPr>
              <w:t>RE</w:t>
            </w:r>
          </w:p>
        </w:tc>
        <w:tc>
          <w:tcPr>
            <w:tcW w:w="7469" w:type="dxa"/>
          </w:tcPr>
          <w:p w14:paraId="7D42F0BD" w14:textId="77777777" w:rsidR="00DB15E9" w:rsidRDefault="0078312E">
            <w:pPr>
              <w:spacing w:after="0"/>
              <w:rPr>
                <w:rFonts w:asciiTheme="minorHAnsi" w:hAnsiTheme="minorHAnsi" w:cstheme="minorHAnsi"/>
              </w:rPr>
            </w:pPr>
            <w:r>
              <w:rPr>
                <w:rFonts w:asciiTheme="minorHAnsi" w:hAnsiTheme="minorHAnsi" w:cstheme="minorHAnsi"/>
              </w:rPr>
              <w:t>Radiated Emissions</w:t>
            </w:r>
          </w:p>
        </w:tc>
      </w:tr>
      <w:tr w:rsidR="00DB15E9" w14:paraId="560A26C4" w14:textId="77777777">
        <w:tc>
          <w:tcPr>
            <w:tcW w:w="1891" w:type="dxa"/>
          </w:tcPr>
          <w:p w14:paraId="7223728C" w14:textId="77777777" w:rsidR="00DB15E9" w:rsidRDefault="0078312E">
            <w:pPr>
              <w:spacing w:after="0"/>
              <w:rPr>
                <w:rFonts w:asciiTheme="minorHAnsi" w:hAnsiTheme="minorHAnsi" w:cstheme="minorHAnsi"/>
              </w:rPr>
            </w:pPr>
            <w:r>
              <w:rPr>
                <w:rFonts w:asciiTheme="minorHAnsi" w:hAnsiTheme="minorHAnsi" w:cstheme="minorHAnsi"/>
              </w:rPr>
              <w:t>RFI</w:t>
            </w:r>
          </w:p>
        </w:tc>
        <w:tc>
          <w:tcPr>
            <w:tcW w:w="7469" w:type="dxa"/>
          </w:tcPr>
          <w:p w14:paraId="54EE539A" w14:textId="77777777" w:rsidR="00DB15E9" w:rsidRDefault="0078312E">
            <w:pPr>
              <w:spacing w:after="0"/>
              <w:rPr>
                <w:rFonts w:asciiTheme="minorHAnsi" w:hAnsiTheme="minorHAnsi" w:cstheme="minorHAnsi"/>
              </w:rPr>
            </w:pPr>
            <w:r>
              <w:rPr>
                <w:rFonts w:asciiTheme="minorHAnsi" w:hAnsiTheme="minorHAnsi" w:cstheme="minorHAnsi"/>
              </w:rPr>
              <w:t>Request for Information</w:t>
            </w:r>
          </w:p>
        </w:tc>
      </w:tr>
      <w:tr w:rsidR="00DB15E9" w14:paraId="09D2DC32" w14:textId="77777777">
        <w:tc>
          <w:tcPr>
            <w:tcW w:w="1891" w:type="dxa"/>
          </w:tcPr>
          <w:p w14:paraId="5E7E15A7" w14:textId="77777777" w:rsidR="00DB15E9" w:rsidRDefault="0078312E">
            <w:pPr>
              <w:spacing w:after="0"/>
              <w:rPr>
                <w:rFonts w:asciiTheme="minorHAnsi" w:hAnsiTheme="minorHAnsi" w:cstheme="minorHAnsi"/>
              </w:rPr>
            </w:pPr>
            <w:r>
              <w:rPr>
                <w:rFonts w:asciiTheme="minorHAnsi" w:hAnsiTheme="minorHAnsi" w:cstheme="minorHAnsi"/>
              </w:rPr>
              <w:t>RS</w:t>
            </w:r>
          </w:p>
        </w:tc>
        <w:tc>
          <w:tcPr>
            <w:tcW w:w="7469" w:type="dxa"/>
          </w:tcPr>
          <w:p w14:paraId="26118974" w14:textId="77777777" w:rsidR="00DB15E9" w:rsidRDefault="0078312E">
            <w:pPr>
              <w:spacing w:after="0"/>
              <w:rPr>
                <w:rFonts w:asciiTheme="minorHAnsi" w:hAnsiTheme="minorHAnsi" w:cstheme="minorHAnsi"/>
              </w:rPr>
            </w:pPr>
            <w:r>
              <w:rPr>
                <w:rFonts w:asciiTheme="minorHAnsi" w:hAnsiTheme="minorHAnsi" w:cstheme="minorHAnsi"/>
              </w:rPr>
              <w:t>Radiated Susceptibility</w:t>
            </w:r>
          </w:p>
        </w:tc>
      </w:tr>
      <w:tr w:rsidR="00DB15E9" w14:paraId="1F938519" w14:textId="77777777">
        <w:tc>
          <w:tcPr>
            <w:tcW w:w="1891" w:type="dxa"/>
          </w:tcPr>
          <w:p w14:paraId="79560E5A" w14:textId="77777777" w:rsidR="00DB15E9" w:rsidRDefault="0078312E">
            <w:pPr>
              <w:spacing w:after="0"/>
              <w:rPr>
                <w:rFonts w:asciiTheme="minorHAnsi" w:hAnsiTheme="minorHAnsi" w:cstheme="minorHAnsi"/>
              </w:rPr>
            </w:pPr>
            <w:r>
              <w:rPr>
                <w:rFonts w:asciiTheme="minorHAnsi" w:hAnsiTheme="minorHAnsi" w:cstheme="minorHAnsi"/>
              </w:rPr>
              <w:t>RSDO</w:t>
            </w:r>
          </w:p>
        </w:tc>
        <w:tc>
          <w:tcPr>
            <w:tcW w:w="7469" w:type="dxa"/>
          </w:tcPr>
          <w:p w14:paraId="757188A1" w14:textId="77777777" w:rsidR="00DB15E9" w:rsidRDefault="0078312E">
            <w:pPr>
              <w:spacing w:after="0"/>
              <w:rPr>
                <w:rFonts w:asciiTheme="minorHAnsi" w:hAnsiTheme="minorHAnsi" w:cstheme="minorHAnsi"/>
              </w:rPr>
            </w:pPr>
            <w:r>
              <w:rPr>
                <w:rFonts w:asciiTheme="minorHAnsi" w:hAnsiTheme="minorHAnsi" w:cstheme="minorHAnsi"/>
              </w:rPr>
              <w:t>Rapid Spacecraft Development Office</w:t>
            </w:r>
          </w:p>
        </w:tc>
      </w:tr>
      <w:tr w:rsidR="00DB15E9" w14:paraId="7CB38F5D" w14:textId="77777777">
        <w:tc>
          <w:tcPr>
            <w:tcW w:w="1891" w:type="dxa"/>
          </w:tcPr>
          <w:p w14:paraId="7965C641" w14:textId="77777777" w:rsidR="00DB15E9" w:rsidRDefault="0078312E">
            <w:pPr>
              <w:spacing w:after="0"/>
              <w:rPr>
                <w:rFonts w:asciiTheme="minorHAnsi" w:hAnsiTheme="minorHAnsi" w:cstheme="minorHAnsi"/>
              </w:rPr>
            </w:pPr>
            <w:r>
              <w:rPr>
                <w:rFonts w:asciiTheme="minorHAnsi" w:hAnsiTheme="minorHAnsi" w:cstheme="minorHAnsi"/>
              </w:rPr>
              <w:t>SEE</w:t>
            </w:r>
          </w:p>
        </w:tc>
        <w:tc>
          <w:tcPr>
            <w:tcW w:w="7469" w:type="dxa"/>
          </w:tcPr>
          <w:p w14:paraId="507391F7" w14:textId="77777777" w:rsidR="00DB15E9" w:rsidRDefault="0078312E">
            <w:pPr>
              <w:spacing w:after="0"/>
              <w:rPr>
                <w:rFonts w:asciiTheme="minorHAnsi" w:hAnsiTheme="minorHAnsi" w:cstheme="minorHAnsi"/>
              </w:rPr>
            </w:pPr>
            <w:r>
              <w:rPr>
                <w:rFonts w:asciiTheme="minorHAnsi" w:hAnsiTheme="minorHAnsi" w:cstheme="minorHAnsi"/>
              </w:rPr>
              <w:t>Single Event Effect</w:t>
            </w:r>
          </w:p>
        </w:tc>
      </w:tr>
      <w:tr w:rsidR="00DB15E9" w14:paraId="6B60CD2B" w14:textId="77777777">
        <w:tc>
          <w:tcPr>
            <w:tcW w:w="1891" w:type="dxa"/>
          </w:tcPr>
          <w:p w14:paraId="0F8FCC70" w14:textId="77777777" w:rsidR="00DB15E9" w:rsidRDefault="0078312E">
            <w:pPr>
              <w:spacing w:after="0"/>
              <w:rPr>
                <w:rFonts w:asciiTheme="minorHAnsi" w:hAnsiTheme="minorHAnsi" w:cstheme="minorHAnsi"/>
                <w:lang w:val="fr-FR"/>
              </w:rPr>
            </w:pPr>
            <w:r>
              <w:rPr>
                <w:rFonts w:asciiTheme="minorHAnsi" w:hAnsiTheme="minorHAnsi" w:cstheme="minorHAnsi"/>
                <w:lang w:val="fr-FR"/>
              </w:rPr>
              <w:t>SI</w:t>
            </w:r>
          </w:p>
        </w:tc>
        <w:tc>
          <w:tcPr>
            <w:tcW w:w="7469" w:type="dxa"/>
          </w:tcPr>
          <w:p w14:paraId="1AA29CA9" w14:textId="77777777" w:rsidR="00DB15E9" w:rsidRDefault="0078312E">
            <w:pPr>
              <w:spacing w:after="0"/>
              <w:rPr>
                <w:rFonts w:asciiTheme="minorHAnsi" w:hAnsiTheme="minorHAnsi" w:cstheme="minorHAnsi"/>
                <w:lang w:val="fr-FR"/>
              </w:rPr>
            </w:pPr>
            <w:r>
              <w:rPr>
                <w:rFonts w:asciiTheme="minorHAnsi" w:hAnsiTheme="minorHAnsi" w:cstheme="minorHAnsi"/>
                <w:lang w:val="fr-FR"/>
              </w:rPr>
              <w:t>Système Internationale</w:t>
            </w:r>
          </w:p>
        </w:tc>
      </w:tr>
      <w:tr w:rsidR="00DB15E9" w14:paraId="6240C912" w14:textId="77777777">
        <w:tc>
          <w:tcPr>
            <w:tcW w:w="1891" w:type="dxa"/>
          </w:tcPr>
          <w:p w14:paraId="7BABD949" w14:textId="77777777" w:rsidR="00DB15E9" w:rsidRDefault="0078312E">
            <w:pPr>
              <w:spacing w:after="0"/>
              <w:rPr>
                <w:rFonts w:asciiTheme="minorHAnsi" w:hAnsiTheme="minorHAnsi" w:cstheme="minorHAnsi"/>
              </w:rPr>
            </w:pPr>
            <w:r>
              <w:rPr>
                <w:rFonts w:asciiTheme="minorHAnsi" w:hAnsiTheme="minorHAnsi" w:cstheme="minorHAnsi"/>
              </w:rPr>
              <w:t>SPS</w:t>
            </w:r>
          </w:p>
        </w:tc>
        <w:tc>
          <w:tcPr>
            <w:tcW w:w="7469" w:type="dxa"/>
          </w:tcPr>
          <w:p w14:paraId="0ABBD0AA" w14:textId="77777777" w:rsidR="00DB15E9" w:rsidRDefault="0078312E">
            <w:pPr>
              <w:spacing w:after="0"/>
              <w:rPr>
                <w:rFonts w:asciiTheme="minorHAnsi" w:hAnsiTheme="minorHAnsi" w:cstheme="minorHAnsi"/>
              </w:rPr>
            </w:pPr>
            <w:r>
              <w:rPr>
                <w:rFonts w:asciiTheme="minorHAnsi" w:hAnsiTheme="minorHAnsi" w:cstheme="minorHAnsi"/>
              </w:rPr>
              <w:t>Spectrum Planning Subcommittee</w:t>
            </w:r>
          </w:p>
        </w:tc>
      </w:tr>
      <w:tr w:rsidR="00DB15E9" w14:paraId="26D54DD0" w14:textId="77777777">
        <w:tc>
          <w:tcPr>
            <w:tcW w:w="1891" w:type="dxa"/>
          </w:tcPr>
          <w:p w14:paraId="6A6EA408" w14:textId="77777777" w:rsidR="00DB15E9" w:rsidRDefault="0078312E">
            <w:pPr>
              <w:spacing w:after="0"/>
              <w:rPr>
                <w:rFonts w:asciiTheme="minorHAnsi" w:hAnsiTheme="minorHAnsi" w:cstheme="minorHAnsi"/>
              </w:rPr>
            </w:pPr>
            <w:r>
              <w:rPr>
                <w:rFonts w:asciiTheme="minorHAnsi" w:hAnsiTheme="minorHAnsi" w:cstheme="minorHAnsi"/>
              </w:rPr>
              <w:t>SRS</w:t>
            </w:r>
          </w:p>
        </w:tc>
        <w:tc>
          <w:tcPr>
            <w:tcW w:w="7469" w:type="dxa"/>
          </w:tcPr>
          <w:p w14:paraId="3197C7B6" w14:textId="77777777" w:rsidR="00DB15E9" w:rsidRDefault="0078312E">
            <w:pPr>
              <w:spacing w:after="0"/>
              <w:rPr>
                <w:rFonts w:asciiTheme="minorHAnsi" w:hAnsiTheme="minorHAnsi" w:cstheme="minorHAnsi"/>
              </w:rPr>
            </w:pPr>
            <w:r>
              <w:rPr>
                <w:rFonts w:asciiTheme="minorHAnsi" w:hAnsiTheme="minorHAnsi" w:cstheme="minorHAnsi"/>
              </w:rPr>
              <w:t>Shock Response Spectrum</w:t>
            </w:r>
          </w:p>
        </w:tc>
      </w:tr>
      <w:tr w:rsidR="00DB15E9" w14:paraId="74E0DB82" w14:textId="77777777">
        <w:tc>
          <w:tcPr>
            <w:tcW w:w="1891" w:type="dxa"/>
          </w:tcPr>
          <w:p w14:paraId="6016DCFB" w14:textId="77777777" w:rsidR="00DB15E9" w:rsidRDefault="0078312E">
            <w:pPr>
              <w:spacing w:after="0"/>
              <w:rPr>
                <w:rFonts w:asciiTheme="minorHAnsi" w:hAnsiTheme="minorHAnsi" w:cstheme="minorHAnsi"/>
              </w:rPr>
            </w:pPr>
            <w:r>
              <w:rPr>
                <w:rFonts w:asciiTheme="minorHAnsi" w:hAnsiTheme="minorHAnsi" w:cstheme="minorHAnsi"/>
              </w:rPr>
              <w:t>TEMP</w:t>
            </w:r>
          </w:p>
        </w:tc>
        <w:tc>
          <w:tcPr>
            <w:tcW w:w="7469" w:type="dxa"/>
          </w:tcPr>
          <w:p w14:paraId="682880C4" w14:textId="77777777" w:rsidR="00DB15E9" w:rsidRDefault="0078312E">
            <w:pPr>
              <w:spacing w:after="0"/>
              <w:rPr>
                <w:rFonts w:asciiTheme="minorHAnsi" w:hAnsiTheme="minorHAnsi" w:cstheme="minorHAnsi"/>
              </w:rPr>
            </w:pPr>
            <w:r>
              <w:rPr>
                <w:rFonts w:asciiTheme="minorHAnsi" w:hAnsiTheme="minorHAnsi" w:cstheme="minorHAnsi"/>
              </w:rPr>
              <w:t>Test and Evaluation Master Plan</w:t>
            </w:r>
          </w:p>
        </w:tc>
      </w:tr>
      <w:tr w:rsidR="00DB15E9" w14:paraId="24584DE8" w14:textId="77777777">
        <w:tc>
          <w:tcPr>
            <w:tcW w:w="1891" w:type="dxa"/>
          </w:tcPr>
          <w:p w14:paraId="7151F12D" w14:textId="77777777" w:rsidR="00DB15E9" w:rsidRDefault="0078312E">
            <w:pPr>
              <w:spacing w:after="0"/>
              <w:rPr>
                <w:rFonts w:asciiTheme="minorHAnsi" w:hAnsiTheme="minorHAnsi" w:cstheme="minorHAnsi"/>
              </w:rPr>
            </w:pPr>
            <w:r>
              <w:rPr>
                <w:rFonts w:asciiTheme="minorHAnsi" w:hAnsiTheme="minorHAnsi" w:cstheme="minorHAnsi"/>
              </w:rPr>
              <w:t>TICD</w:t>
            </w:r>
          </w:p>
        </w:tc>
        <w:tc>
          <w:tcPr>
            <w:tcW w:w="7469" w:type="dxa"/>
          </w:tcPr>
          <w:p w14:paraId="6F9E3B5D" w14:textId="77777777" w:rsidR="00DB15E9" w:rsidRDefault="0078312E">
            <w:pPr>
              <w:spacing w:after="0"/>
              <w:rPr>
                <w:rFonts w:asciiTheme="minorHAnsi" w:hAnsiTheme="minorHAnsi" w:cstheme="minorHAnsi"/>
              </w:rPr>
            </w:pPr>
            <w:r>
              <w:rPr>
                <w:rFonts w:asciiTheme="minorHAnsi" w:hAnsiTheme="minorHAnsi" w:cstheme="minorHAnsi"/>
              </w:rPr>
              <w:t>Thermal ICD</w:t>
            </w:r>
          </w:p>
        </w:tc>
      </w:tr>
      <w:tr w:rsidR="00DB15E9" w14:paraId="3AF2BA34" w14:textId="77777777">
        <w:tc>
          <w:tcPr>
            <w:tcW w:w="1891" w:type="dxa"/>
          </w:tcPr>
          <w:p w14:paraId="6AB17F24" w14:textId="77777777" w:rsidR="00DB15E9" w:rsidRDefault="0078312E">
            <w:pPr>
              <w:spacing w:after="0"/>
              <w:rPr>
                <w:rFonts w:asciiTheme="minorHAnsi" w:hAnsiTheme="minorHAnsi" w:cstheme="minorHAnsi"/>
              </w:rPr>
            </w:pPr>
            <w:r>
              <w:rPr>
                <w:rFonts w:asciiTheme="minorHAnsi" w:hAnsiTheme="minorHAnsi" w:cstheme="minorHAnsi"/>
              </w:rPr>
              <w:t>TID</w:t>
            </w:r>
          </w:p>
        </w:tc>
        <w:tc>
          <w:tcPr>
            <w:tcW w:w="7469" w:type="dxa"/>
          </w:tcPr>
          <w:p w14:paraId="36677B52" w14:textId="77777777" w:rsidR="00DB15E9" w:rsidRDefault="0078312E">
            <w:pPr>
              <w:spacing w:after="0"/>
              <w:rPr>
                <w:rFonts w:asciiTheme="minorHAnsi" w:hAnsiTheme="minorHAnsi" w:cstheme="minorHAnsi"/>
              </w:rPr>
            </w:pPr>
            <w:r>
              <w:rPr>
                <w:rFonts w:asciiTheme="minorHAnsi" w:hAnsiTheme="minorHAnsi" w:cstheme="minorHAnsi"/>
              </w:rPr>
              <w:t>Total Ionizing Dose</w:t>
            </w:r>
          </w:p>
        </w:tc>
      </w:tr>
      <w:tr w:rsidR="00DB15E9" w14:paraId="24FDFEA5" w14:textId="77777777">
        <w:tc>
          <w:tcPr>
            <w:tcW w:w="1891" w:type="dxa"/>
          </w:tcPr>
          <w:p w14:paraId="0CDE2653" w14:textId="77777777" w:rsidR="00DB15E9" w:rsidRDefault="0078312E">
            <w:pPr>
              <w:spacing w:after="0"/>
              <w:rPr>
                <w:rFonts w:asciiTheme="minorHAnsi" w:hAnsiTheme="minorHAnsi" w:cstheme="minorHAnsi"/>
              </w:rPr>
            </w:pPr>
            <w:r>
              <w:rPr>
                <w:rFonts w:asciiTheme="minorHAnsi" w:hAnsiTheme="minorHAnsi" w:cstheme="minorHAnsi"/>
              </w:rPr>
              <w:t>TML</w:t>
            </w:r>
          </w:p>
        </w:tc>
        <w:tc>
          <w:tcPr>
            <w:tcW w:w="7469" w:type="dxa"/>
          </w:tcPr>
          <w:p w14:paraId="4170F1EE" w14:textId="77777777" w:rsidR="00DB15E9" w:rsidRDefault="0078312E">
            <w:pPr>
              <w:spacing w:after="0"/>
              <w:rPr>
                <w:rFonts w:asciiTheme="minorHAnsi" w:hAnsiTheme="minorHAnsi" w:cstheme="minorHAnsi"/>
              </w:rPr>
            </w:pPr>
            <w:r>
              <w:rPr>
                <w:rFonts w:asciiTheme="minorHAnsi" w:hAnsiTheme="minorHAnsi" w:cstheme="minorHAnsi"/>
              </w:rPr>
              <w:t>Total mass Loss</w:t>
            </w:r>
          </w:p>
        </w:tc>
      </w:tr>
      <w:tr w:rsidR="00DB15E9" w14:paraId="35E4B79E" w14:textId="77777777">
        <w:tc>
          <w:tcPr>
            <w:tcW w:w="1891" w:type="dxa"/>
          </w:tcPr>
          <w:p w14:paraId="3F1EC8D9" w14:textId="77777777" w:rsidR="00DB15E9" w:rsidRDefault="0078312E">
            <w:pPr>
              <w:spacing w:after="0"/>
              <w:rPr>
                <w:rFonts w:asciiTheme="minorHAnsi" w:hAnsiTheme="minorHAnsi" w:cstheme="minorHAnsi"/>
              </w:rPr>
            </w:pPr>
            <w:r>
              <w:rPr>
                <w:rFonts w:asciiTheme="minorHAnsi" w:hAnsiTheme="minorHAnsi" w:cstheme="minorHAnsi"/>
              </w:rPr>
              <w:t>VDC</w:t>
            </w:r>
          </w:p>
        </w:tc>
        <w:tc>
          <w:tcPr>
            <w:tcW w:w="7469" w:type="dxa"/>
          </w:tcPr>
          <w:p w14:paraId="1B0BFC8F" w14:textId="77777777" w:rsidR="00DB15E9" w:rsidRDefault="0078312E">
            <w:pPr>
              <w:spacing w:after="0"/>
              <w:rPr>
                <w:rFonts w:asciiTheme="minorHAnsi" w:hAnsiTheme="minorHAnsi" w:cstheme="minorHAnsi"/>
              </w:rPr>
            </w:pPr>
            <w:r>
              <w:rPr>
                <w:rFonts w:asciiTheme="minorHAnsi" w:hAnsiTheme="minorHAnsi" w:cstheme="minorHAnsi"/>
              </w:rPr>
              <w:t>Volts Direct Current</w:t>
            </w:r>
          </w:p>
        </w:tc>
      </w:tr>
    </w:tbl>
    <w:p w14:paraId="2264EEAF" w14:textId="77777777" w:rsidR="00DB15E9" w:rsidRDefault="00DB15E9">
      <w:pPr>
        <w:rPr>
          <w:rFonts w:ascii="Helvetica" w:hAnsi="Helvetica"/>
        </w:rPr>
      </w:pPr>
    </w:p>
    <w:p w14:paraId="15257197" w14:textId="77777777" w:rsidR="00DB15E9" w:rsidRDefault="0078312E">
      <w:pPr>
        <w:pStyle w:val="Heading1"/>
      </w:pPr>
      <w:bookmarkStart w:id="370" w:name="_Toc226776113"/>
      <w:bookmarkStart w:id="371" w:name="_Toc471910915"/>
      <w:r>
        <w:lastRenderedPageBreak/>
        <w:t>Reference Documents</w:t>
      </w:r>
      <w:bookmarkEnd w:id="370"/>
      <w:bookmarkEnd w:id="371"/>
    </w:p>
    <w:p w14:paraId="5883624E" w14:textId="77777777" w:rsidR="00DB15E9" w:rsidRDefault="0078312E">
      <w:pPr>
        <w:pStyle w:val="ESSPReferences"/>
      </w:pPr>
      <w:r>
        <w:t xml:space="preserve">417-R-GIRD-0009, </w:t>
      </w:r>
      <w:bookmarkStart w:id="372" w:name="OLE_LINK64"/>
      <w:bookmarkStart w:id="373" w:name="OLE_LINK65"/>
      <w:r>
        <w:t>Geostationary Operational Environmental Satellite GOES-R Series General Interface Requirements Document (GOES-R GIRD.</w:t>
      </w:r>
    </w:p>
    <w:bookmarkEnd w:id="372"/>
    <w:bookmarkEnd w:id="373"/>
    <w:p w14:paraId="435F29DF" w14:textId="77777777" w:rsidR="00DB15E9" w:rsidRDefault="0078312E">
      <w:pPr>
        <w:pStyle w:val="ESSPReferences"/>
      </w:pPr>
      <w:r>
        <w:t xml:space="preserve">Arianespace, </w:t>
      </w:r>
      <w:r>
        <w:rPr>
          <w:i/>
        </w:rPr>
        <w:t>Ariane 5 User’s Manual, Issue 5, Revision 1,</w:t>
      </w:r>
      <w:r>
        <w:t xml:space="preserve"> July 2011, available at: </w:t>
      </w:r>
      <w:hyperlink r:id="rId30" w:history="1">
        <w:r>
          <w:rPr>
            <w:rStyle w:val="Hyperlink"/>
          </w:rPr>
          <w:t>http://www.arianespace.com/launch-services-ariane5/Ariane5_users_manual_Issue5_July2011.pdf</w:t>
        </w:r>
      </w:hyperlink>
      <w:r>
        <w:t>.</w:t>
      </w:r>
    </w:p>
    <w:p w14:paraId="34D61A31" w14:textId="77777777" w:rsidR="00DB15E9" w:rsidRDefault="0078312E">
      <w:pPr>
        <w:pStyle w:val="ESSPReferences"/>
      </w:pPr>
      <w:r>
        <w:t xml:space="preserve">Arianespace, </w:t>
      </w:r>
      <w:r>
        <w:rPr>
          <w:i/>
        </w:rPr>
        <w:t>Soyuz User’s Manual, Issue 2, Revision 0,</w:t>
      </w:r>
      <w:r>
        <w:t xml:space="preserve"> March 2012, available at: </w:t>
      </w:r>
      <w:hyperlink r:id="rId31" w:history="1">
        <w:r>
          <w:rPr>
            <w:rStyle w:val="Hyperlink"/>
          </w:rPr>
          <w:t>http://www.arianespace.com/launch-services-soyuz/Soyuz-Users-Manual-March-2012.pdf</w:t>
        </w:r>
      </w:hyperlink>
      <w:r>
        <w:t>.</w:t>
      </w:r>
    </w:p>
    <w:p w14:paraId="14B79CE6" w14:textId="77777777" w:rsidR="00DB15E9" w:rsidRDefault="0078312E">
      <w:pPr>
        <w:pStyle w:val="ESSPReferences"/>
      </w:pPr>
      <w:r>
        <w:t xml:space="preserve">Arianespace, </w:t>
      </w:r>
      <w:r>
        <w:rPr>
          <w:i/>
        </w:rPr>
        <w:t>Vega User’s Manual, Issue 3, Revision 0,</w:t>
      </w:r>
      <w:r>
        <w:t xml:space="preserve"> March 2006, available at: </w:t>
      </w:r>
      <w:hyperlink r:id="rId32" w:history="1">
        <w:r>
          <w:rPr>
            <w:rStyle w:val="Hyperlink"/>
          </w:rPr>
          <w:t>http://www.arianespace.com/launch-services-vega/VEGAUsersManual.pdf</w:t>
        </w:r>
      </w:hyperlink>
      <w:r>
        <w:t>.</w:t>
      </w:r>
    </w:p>
    <w:p w14:paraId="630AE7E3" w14:textId="77777777" w:rsidR="00DB15E9" w:rsidRDefault="0078312E">
      <w:pPr>
        <w:pStyle w:val="ESSPReferences"/>
      </w:pPr>
      <w:r>
        <w:t>ASTM E595-07, Standard Test Method for Total Mass Loss and Collected Volatile Condensable Materials from Outgassing in a Vacuum Environment, ASTM International, 2007.</w:t>
      </w:r>
    </w:p>
    <w:p w14:paraId="346EE27B" w14:textId="77777777" w:rsidR="00DB15E9" w:rsidRDefault="0078312E">
      <w:pPr>
        <w:pStyle w:val="ESSPReferences"/>
      </w:pPr>
      <w:r>
        <w:t xml:space="preserve">Barth, J. L., Xapsos, M., Stauffer, C., and Ladbury, R., </w:t>
      </w:r>
      <w:r>
        <w:rPr>
          <w:i/>
        </w:rPr>
        <w:t>The Radiation Environment for Electronic Devices on the GOES-R Series Satellites,</w:t>
      </w:r>
      <w:r>
        <w:t xml:space="preserve"> NASA GSFC 417-R-RPT-0027, March 2004.</w:t>
      </w:r>
    </w:p>
    <w:p w14:paraId="1CF35B8F" w14:textId="77777777" w:rsidR="00DB15E9" w:rsidRDefault="0078312E">
      <w:pPr>
        <w:pStyle w:val="ESSPReferences"/>
      </w:pPr>
      <w:r>
        <w:t xml:space="preserve">Bilitza, D., </w:t>
      </w:r>
      <w:r>
        <w:rPr>
          <w:i/>
        </w:rPr>
        <w:t>AE-8/AP-8 Radiation Belt Models</w:t>
      </w:r>
      <w:r>
        <w:t xml:space="preserve">, NASA Space Physics Data Facility, Goddard Space Flight Center, available at: </w:t>
      </w:r>
      <w:hyperlink r:id="rId33" w:history="1">
        <w:r>
          <w:rPr>
            <w:rStyle w:val="Hyperlink"/>
          </w:rPr>
          <w:t>http://modelweb.gsfc.nasa.gov/models/trap.html</w:t>
        </w:r>
      </w:hyperlink>
      <w:r>
        <w:t>.</w:t>
      </w:r>
    </w:p>
    <w:p w14:paraId="3F0C2C61" w14:textId="77777777" w:rsidR="00DB15E9" w:rsidRDefault="0078312E">
      <w:pPr>
        <w:pStyle w:val="ESSPReferences"/>
      </w:pPr>
      <w:r>
        <w:t xml:space="preserve">de Rooij, A, “CORROSION IN SPACE,” ESA-ESTEC, </w:t>
      </w:r>
      <w:r>
        <w:rPr>
          <w:i/>
        </w:rPr>
        <w:t>Encyclopedia of Aerospace Engineering</w:t>
      </w:r>
      <w:r>
        <w:t xml:space="preserve">, John Wiley &amp; Sons Ltd, 2010, available at: </w:t>
      </w:r>
      <w:hyperlink r:id="rId34" w:history="1">
        <w:r>
          <w:rPr>
            <w:rStyle w:val="Hyperlink"/>
          </w:rPr>
          <w:t>http://esmat.esa.int/Publications/Published_papers/Corrosion_in_Space.pdf</w:t>
        </w:r>
      </w:hyperlink>
      <w:r>
        <w:t>.</w:t>
      </w:r>
    </w:p>
    <w:p w14:paraId="510F5E41" w14:textId="77777777" w:rsidR="00DB15E9" w:rsidRDefault="0078312E">
      <w:pPr>
        <w:pStyle w:val="ESSPReferences"/>
        <w:rPr>
          <w:shd w:val="clear" w:color="auto" w:fill="FFFFFF"/>
        </w:rPr>
      </w:pPr>
      <w:r>
        <w:t>Earth Venture Instrument – 1 solicitation (</w:t>
      </w:r>
      <w:r>
        <w:rPr>
          <w:shd w:val="clear" w:color="auto" w:fill="FFFFFF"/>
        </w:rPr>
        <w:t xml:space="preserve">NNH12ZDA006O-EVI1), February 2012, available at: </w:t>
      </w:r>
      <w:hyperlink r:id="rId35" w:history="1">
        <w:r>
          <w:rPr>
            <w:rStyle w:val="Hyperlink"/>
            <w:rFonts w:asciiTheme="majorHAnsi" w:hAnsiTheme="majorHAnsi" w:cstheme="majorHAnsi"/>
            <w:bCs/>
            <w:shd w:val="clear" w:color="auto" w:fill="FFFFFF"/>
          </w:rPr>
          <w:t>https://www.fbo.gov/spg/NASA/HQ/OPHQDC/NNH12ZDA006O-EVI1/listing.html</w:t>
        </w:r>
      </w:hyperlink>
      <w:r>
        <w:rPr>
          <w:shd w:val="clear" w:color="auto" w:fill="FFFFFF"/>
        </w:rPr>
        <w:t>.</w:t>
      </w:r>
    </w:p>
    <w:p w14:paraId="559FB55C" w14:textId="77777777" w:rsidR="00DB15E9" w:rsidRDefault="0078312E">
      <w:pPr>
        <w:pStyle w:val="ESSPReferences"/>
      </w:pPr>
      <w:r>
        <w:t>ECSS-E-ST-50-12C, SpaceWire Links, Nodes, Routers, and Networks, European Cooperation for Space Standardization (EECS), July 2008.</w:t>
      </w:r>
    </w:p>
    <w:p w14:paraId="6AFD6AC7" w14:textId="77777777" w:rsidR="00DB15E9" w:rsidRDefault="0078312E">
      <w:pPr>
        <w:pStyle w:val="ESSPReferences"/>
      </w:pPr>
      <w:r>
        <w:t xml:space="preserve">European Space Agency, </w:t>
      </w:r>
      <w:r>
        <w:rPr>
          <w:i/>
        </w:rPr>
        <w:t>Meteoroid and Space Debris Terrestrial Environment Reference (MASTER) 2009,</w:t>
      </w:r>
      <w:r>
        <w:t xml:space="preserve"> available at: </w:t>
      </w:r>
      <w:hyperlink r:id="rId36" w:history="1">
        <w:r>
          <w:rPr>
            <w:rStyle w:val="Hyperlink"/>
          </w:rPr>
          <w:t>http://www.master-model.de/</w:t>
        </w:r>
      </w:hyperlink>
      <w:r>
        <w:t>.</w:t>
      </w:r>
    </w:p>
    <w:p w14:paraId="16F644C3" w14:textId="77777777" w:rsidR="00DB15E9" w:rsidRDefault="0078312E">
      <w:pPr>
        <w:pStyle w:val="ESSPReferences"/>
      </w:pPr>
      <w:r>
        <w:t xml:space="preserve">Feynman, J., A. Ruzmaikin, and V. Berdichevsky, “The JPL proton fluence model: an update”, </w:t>
      </w:r>
      <w:r>
        <w:rPr>
          <w:i/>
        </w:rPr>
        <w:t>JASTP</w:t>
      </w:r>
      <w:r>
        <w:t>, 64, 1679-1686, 2002.</w:t>
      </w:r>
    </w:p>
    <w:p w14:paraId="00B8B90C" w14:textId="77777777" w:rsidR="00DB15E9" w:rsidRDefault="0078312E">
      <w:pPr>
        <w:pStyle w:val="ESSPReferences"/>
      </w:pPr>
      <w:r>
        <w:t xml:space="preserve">Goddard Space Flight Center, </w:t>
      </w:r>
      <w:bookmarkStart w:id="374" w:name="OLE_LINK62"/>
      <w:bookmarkStart w:id="375" w:name="OLE_LINK63"/>
      <w:r>
        <w:t xml:space="preserve">General Environmental Verification Specification for STS &amp; ELV Payloads, Subsystems, and Components (GEVS-SE), Revision A, </w:t>
      </w:r>
      <w:bookmarkEnd w:id="374"/>
      <w:bookmarkEnd w:id="375"/>
      <w:r>
        <w:t>June 1996.</w:t>
      </w:r>
    </w:p>
    <w:p w14:paraId="499FAA6B" w14:textId="77777777" w:rsidR="00DB15E9" w:rsidRDefault="0078312E">
      <w:pPr>
        <w:pStyle w:val="ESSPReferences"/>
      </w:pPr>
      <w:r>
        <w:t xml:space="preserve">Grün, E., H.A. Zook, H. Fechtig, R.H. Giese, “Collisional balance of the meteoritic complex,” </w:t>
      </w:r>
      <w:r>
        <w:rPr>
          <w:i/>
        </w:rPr>
        <w:t>Icarus</w:t>
      </w:r>
      <w:r>
        <w:t xml:space="preserve"> 62, 244–272, 1985.</w:t>
      </w:r>
    </w:p>
    <w:p w14:paraId="0D59B965" w14:textId="77777777" w:rsidR="00DB15E9" w:rsidRDefault="0078312E">
      <w:pPr>
        <w:pStyle w:val="ESSPReferences"/>
      </w:pPr>
      <w:r>
        <w:t>GSFC 422-11-122-01, Rev. B, General Interface Requirements Document (GIRD) for EOS Common Spacecraft/Instruments, August 1998.</w:t>
      </w:r>
    </w:p>
    <w:p w14:paraId="462A138F" w14:textId="77777777" w:rsidR="00DB15E9" w:rsidRDefault="0078312E">
      <w:pPr>
        <w:pStyle w:val="ESSPReferences"/>
      </w:pPr>
      <w:r>
        <w:t xml:space="preserve">GSFC S-311-P-4/09 Rev. C, </w:t>
      </w:r>
      <w:r>
        <w:rPr>
          <w:i/>
        </w:rPr>
        <w:t>Connectors, Electrical, Polarized Shell, Rack and Panel, for Space Use,</w:t>
      </w:r>
      <w:r>
        <w:t xml:space="preserve"> June 1991, available at: </w:t>
      </w:r>
      <w:hyperlink r:id="rId37" w:history="1">
        <w:r>
          <w:rPr>
            <w:rStyle w:val="Hyperlink"/>
          </w:rPr>
          <w:t>https://nepp.nasa.gov/files/22992/S-311-P-4_09C.pdf</w:t>
        </w:r>
      </w:hyperlink>
      <w:r>
        <w:t>.</w:t>
      </w:r>
    </w:p>
    <w:p w14:paraId="573D33CF" w14:textId="77777777" w:rsidR="00DB15E9" w:rsidRDefault="0078312E">
      <w:pPr>
        <w:pStyle w:val="ESSPReferences"/>
      </w:pPr>
      <w:r>
        <w:lastRenderedPageBreak/>
        <w:t xml:space="preserve">GSFC-733-HARN Rev. C, </w:t>
      </w:r>
      <w:r>
        <w:rPr>
          <w:i/>
        </w:rPr>
        <w:t>Design and Manufacturing Standard for Electrical Harnesses</w:t>
      </w:r>
      <w:r>
        <w:t xml:space="preserve">, July 2003, available at: </w:t>
      </w:r>
      <w:hyperlink r:id="rId38" w:history="1">
        <w:r>
          <w:rPr>
            <w:rStyle w:val="Hyperlink"/>
          </w:rPr>
          <w:t>http://eed.gsfc.nasa.gov/docs/harness/harness.html</w:t>
        </w:r>
      </w:hyperlink>
      <w:r>
        <w:t>.</w:t>
      </w:r>
    </w:p>
    <w:p w14:paraId="61F96463" w14:textId="77777777" w:rsidR="00DB15E9" w:rsidRDefault="0078312E">
      <w:pPr>
        <w:pStyle w:val="ESSPReferences"/>
      </w:pPr>
      <w:r>
        <w:t xml:space="preserve">GSFC-PPL-21, </w:t>
      </w:r>
      <w:r>
        <w:rPr>
          <w:i/>
        </w:rPr>
        <w:t>Goddard Space Flight Center Preferred Parts List, Notice 1,</w:t>
      </w:r>
      <w:r>
        <w:t xml:space="preserve"> May 1996, available at: </w:t>
      </w:r>
      <w:hyperlink r:id="rId39" w:history="1">
        <w:r>
          <w:rPr>
            <w:rStyle w:val="Hyperlink"/>
          </w:rPr>
          <w:t>http://nepp.nasa.gov/docuploads/AA0D50FD-18BE-48EF-ABA2E1C4EFF2395F/ppl21notice1.pdf</w:t>
        </w:r>
      </w:hyperlink>
      <w:r>
        <w:t>.</w:t>
      </w:r>
    </w:p>
    <w:p w14:paraId="378D2227" w14:textId="77777777" w:rsidR="00DB15E9" w:rsidRDefault="0078312E">
      <w:pPr>
        <w:pStyle w:val="ESSPReferences"/>
      </w:pPr>
      <w:r>
        <w:t>GSFC-STD-7000, General Environmental Verification Standard (GEVS) For GSFC Flight Programs and Projects, April 2005.</w:t>
      </w:r>
    </w:p>
    <w:p w14:paraId="3C63F322" w14:textId="77777777" w:rsidR="00DB15E9" w:rsidRDefault="0078312E">
      <w:pPr>
        <w:pStyle w:val="ESSPReferences"/>
      </w:pPr>
      <w:r>
        <w:t>IEST-STD-1246D, Product Cleanliness Levels and Contamination Control Program.</w:t>
      </w:r>
    </w:p>
    <w:p w14:paraId="61732555" w14:textId="77777777" w:rsidR="00DB15E9" w:rsidRDefault="0078312E">
      <w:pPr>
        <w:pStyle w:val="ESSPReferences"/>
      </w:pPr>
      <w:r>
        <w:t xml:space="preserve">ILS, </w:t>
      </w:r>
      <w:r>
        <w:rPr>
          <w:i/>
        </w:rPr>
        <w:t>Proton Mission Planner’s Guide, Revision 7</w:t>
      </w:r>
      <w:r>
        <w:t xml:space="preserve">, July 2009, available at: </w:t>
      </w:r>
      <w:hyperlink r:id="rId40" w:history="1">
        <w:r>
          <w:rPr>
            <w:rStyle w:val="Hyperlink"/>
          </w:rPr>
          <w:t>http://www.ilslaunch.com/sites/default/files/pdf/Proton%20Mission%20Planner%27s%20Guide%20Revision%207%20%28LKEB-9812-1990%29.pdf</w:t>
        </w:r>
      </w:hyperlink>
      <w:r>
        <w:t xml:space="preserve">. </w:t>
      </w:r>
    </w:p>
    <w:p w14:paraId="196C20BF" w14:textId="77777777" w:rsidR="00DB15E9" w:rsidRDefault="0078312E">
      <w:pPr>
        <w:pStyle w:val="ESSPReferences"/>
      </w:pPr>
      <w:r>
        <w:t xml:space="preserve">IPC J-STD-001ES, Joint Industry Standard, Space Applications Hardware Addendum to J-STD-001E, Requirements for Soldered Electrical and Electronic Assemblies, December 2010, available at: </w:t>
      </w:r>
      <w:hyperlink r:id="rId41" w:history="1">
        <w:r>
          <w:rPr>
            <w:rStyle w:val="Hyperlink"/>
          </w:rPr>
          <w:t>http://www.ipc.org/4.0_Knowledge/4.1_Standards/IPC-J-STD-001ES.pdf</w:t>
        </w:r>
      </w:hyperlink>
      <w:r>
        <w:t>.</w:t>
      </w:r>
    </w:p>
    <w:p w14:paraId="64310452" w14:textId="77777777" w:rsidR="00DB15E9" w:rsidRDefault="0078312E">
      <w:pPr>
        <w:pStyle w:val="ESSPReferences"/>
      </w:pPr>
      <w:r>
        <w:t xml:space="preserve">Kosmotras, </w:t>
      </w:r>
      <w:r>
        <w:rPr>
          <w:i/>
        </w:rPr>
        <w:t>Dnepr Space Launch System User’s Guide, Issue 2,</w:t>
      </w:r>
      <w:r>
        <w:t xml:space="preserve"> November 2001, available at: </w:t>
      </w:r>
      <w:hyperlink r:id="rId42" w:history="1">
        <w:r>
          <w:rPr>
            <w:rStyle w:val="Hyperlink"/>
          </w:rPr>
          <w:t>http://www.kosmotras.ru/upload/dneprlv.zip</w:t>
        </w:r>
      </w:hyperlink>
      <w:r>
        <w:t>.</w:t>
      </w:r>
    </w:p>
    <w:p w14:paraId="477F9BD3" w14:textId="77777777" w:rsidR="00DB15E9" w:rsidRDefault="0078312E">
      <w:pPr>
        <w:pStyle w:val="ESSPReferences"/>
      </w:pPr>
      <w:r>
        <w:t>MIL-DTL-24308, General Specification for Connectors, Electric, Rectangular, Nonenvironmental, Miniature, Polarized Shell, Rack and Panel, w/ Amendment 1, Revision G, January 2011.</w:t>
      </w:r>
    </w:p>
    <w:p w14:paraId="0589C5EC" w14:textId="77777777" w:rsidR="00DB15E9" w:rsidRDefault="0078312E">
      <w:pPr>
        <w:pStyle w:val="ESSPReferences"/>
      </w:pPr>
      <w:r>
        <w:t>MIL-HDBK-1547A, Department of Defense Handbook: Electronic Parks, Materials, and Processes for Space and Launch Vehicles, July 1998.</w:t>
      </w:r>
    </w:p>
    <w:p w14:paraId="117AA12A" w14:textId="77777777" w:rsidR="00DB15E9" w:rsidRDefault="0078312E">
      <w:pPr>
        <w:pStyle w:val="ESSPReferences"/>
      </w:pPr>
      <w:r>
        <w:t>MIL-STD-461F, Requirements for the Control of Electromagnetic Interference Characteristics of Subsystems and Equipment, December 2007.</w:t>
      </w:r>
    </w:p>
    <w:p w14:paraId="2885851A" w14:textId="77777777" w:rsidR="00DB15E9" w:rsidRDefault="0078312E">
      <w:pPr>
        <w:pStyle w:val="ESSPReferences"/>
      </w:pPr>
      <w:r>
        <w:t>MIL-STD-462, Measurement of Electromagnetic Interference Characteristics, July 1967.</w:t>
      </w:r>
    </w:p>
    <w:p w14:paraId="254FFCCE" w14:textId="77777777" w:rsidR="00DB15E9" w:rsidRDefault="0078312E">
      <w:pPr>
        <w:pStyle w:val="ESSPReferences"/>
      </w:pPr>
      <w:r>
        <w:t xml:space="preserve">NASA Orbital Debris Program Office, </w:t>
      </w:r>
      <w:r>
        <w:rPr>
          <w:i/>
        </w:rPr>
        <w:t>Orbital Debris Engineering Models (ORDEM2000)</w:t>
      </w:r>
      <w:r>
        <w:t xml:space="preserve">, available at: </w:t>
      </w:r>
      <w:hyperlink r:id="rId43" w:history="1">
        <w:r>
          <w:rPr>
            <w:rStyle w:val="Hyperlink"/>
          </w:rPr>
          <w:t>http://www.orbitaldebris.jsc.nasa.gov/model/engrmodel.html</w:t>
        </w:r>
      </w:hyperlink>
      <w:r>
        <w:t>.</w:t>
      </w:r>
    </w:p>
    <w:p w14:paraId="08A233D2" w14:textId="77777777" w:rsidR="00DB15E9" w:rsidRDefault="0078312E">
      <w:pPr>
        <w:pStyle w:val="ESSPReferences"/>
      </w:pPr>
      <w:r>
        <w:t xml:space="preserve">NASA-HDBK-4001, </w:t>
      </w:r>
      <w:r>
        <w:rPr>
          <w:i/>
        </w:rPr>
        <w:t>Electrical Grounding Architecture for Unmanned Spacecraft</w:t>
      </w:r>
      <w:r>
        <w:t xml:space="preserve">, February 1998, available at: </w:t>
      </w:r>
      <w:hyperlink r:id="rId44" w:history="1">
        <w:r>
          <w:rPr>
            <w:rStyle w:val="Hyperlink"/>
          </w:rPr>
          <w:t>https://standards.nasa.gov/documents/detail/3314876</w:t>
        </w:r>
      </w:hyperlink>
      <w:r>
        <w:t>.</w:t>
      </w:r>
    </w:p>
    <w:p w14:paraId="51AAAF9E" w14:textId="77777777" w:rsidR="00DB15E9" w:rsidRDefault="0078312E">
      <w:pPr>
        <w:pStyle w:val="ESSPReferences"/>
      </w:pPr>
      <w:r>
        <w:t xml:space="preserve">NASA-HDBK-4002A, </w:t>
      </w:r>
      <w:r>
        <w:rPr>
          <w:i/>
        </w:rPr>
        <w:t>Mitigating In-Space Charging Effects-A Guideline</w:t>
      </w:r>
      <w:r>
        <w:t xml:space="preserve">, March 2011, available at: </w:t>
      </w:r>
      <w:hyperlink r:id="rId45" w:history="1">
        <w:r>
          <w:rPr>
            <w:rStyle w:val="Hyperlink"/>
          </w:rPr>
          <w:t>https://standards.nasa.gov/documents/detail/3314877</w:t>
        </w:r>
      </w:hyperlink>
      <w:r>
        <w:t>.</w:t>
      </w:r>
    </w:p>
    <w:p w14:paraId="1C20204F" w14:textId="77777777" w:rsidR="00DB15E9" w:rsidRDefault="0078312E">
      <w:pPr>
        <w:pStyle w:val="ESSPReferences"/>
      </w:pPr>
      <w:r>
        <w:t>NASA-STD-4003,</w:t>
      </w:r>
      <w:r>
        <w:rPr>
          <w:i/>
        </w:rPr>
        <w:t xml:space="preserve"> Electrical Bonding for Launch Vehicles, Spacecraft, Payloads and Flight Equipment</w:t>
      </w:r>
      <w:r>
        <w:t xml:space="preserve">, September 2003, available at: </w:t>
      </w:r>
      <w:hyperlink r:id="rId46" w:history="1">
        <w:r>
          <w:rPr>
            <w:rStyle w:val="Hyperlink"/>
          </w:rPr>
          <w:t>https://standards.nasa.gov/documents/detail/3315121</w:t>
        </w:r>
      </w:hyperlink>
      <w:r>
        <w:t>.</w:t>
      </w:r>
    </w:p>
    <w:p w14:paraId="17843D5C" w14:textId="77777777" w:rsidR="00DB15E9" w:rsidRDefault="0078312E">
      <w:pPr>
        <w:pStyle w:val="ESSPReferences"/>
      </w:pPr>
      <w:r>
        <w:t xml:space="preserve">NASA-STD-5019, </w:t>
      </w:r>
      <w:r>
        <w:rPr>
          <w:i/>
        </w:rPr>
        <w:t>Fracture Control Requirements for Spaceflight Hardware</w:t>
      </w:r>
      <w:r>
        <w:t xml:space="preserve">, January 2008, available at: </w:t>
      </w:r>
      <w:hyperlink r:id="rId47" w:history="1">
        <w:r>
          <w:rPr>
            <w:rStyle w:val="Hyperlink"/>
          </w:rPr>
          <w:t>https://standards.nasa.gov/documents/detail/3315593</w:t>
        </w:r>
      </w:hyperlink>
      <w:r>
        <w:t xml:space="preserve">. </w:t>
      </w:r>
    </w:p>
    <w:p w14:paraId="4732B0E9" w14:textId="77777777" w:rsidR="00DB15E9" w:rsidRDefault="0078312E">
      <w:pPr>
        <w:pStyle w:val="ESSPReferences"/>
      </w:pPr>
      <w:r>
        <w:lastRenderedPageBreak/>
        <w:t xml:space="preserve">NASA-STD-8739.4, </w:t>
      </w:r>
      <w:r>
        <w:rPr>
          <w:i/>
        </w:rPr>
        <w:t>Crimping, Interconnecting Cables, Harnesses, and Wiring</w:t>
      </w:r>
      <w:r>
        <w:t xml:space="preserve">, February 1998, available at: </w:t>
      </w:r>
      <w:hyperlink r:id="rId48" w:history="1">
        <w:r>
          <w:rPr>
            <w:rStyle w:val="Hyperlink"/>
          </w:rPr>
          <w:t>https://standards.nasa.gov/documents/detail/3314921</w:t>
        </w:r>
      </w:hyperlink>
      <w:r>
        <w:t>.</w:t>
      </w:r>
    </w:p>
    <w:p w14:paraId="7EB9C736" w14:textId="77777777" w:rsidR="00DB15E9" w:rsidRDefault="0078312E">
      <w:pPr>
        <w:pStyle w:val="ESSPReferences"/>
      </w:pPr>
      <w:r>
        <w:t>NASA-TM-4527, Natural Orbital Environment Guidelines for Use in Aerospace Vehicle Development, June 1994.</w:t>
      </w:r>
    </w:p>
    <w:p w14:paraId="381C6A63" w14:textId="77777777" w:rsidR="00DB15E9" w:rsidRDefault="0078312E">
      <w:pPr>
        <w:pStyle w:val="ESSPReferences"/>
      </w:pPr>
      <w:r>
        <w:t xml:space="preserve">NPR 2570.1B, </w:t>
      </w:r>
      <w:r>
        <w:rPr>
          <w:i/>
        </w:rPr>
        <w:t>NASA Radio Frequency (RF) Spectrum Management Manual</w:t>
      </w:r>
      <w:r>
        <w:t xml:space="preserve">, December 2008, available at: </w:t>
      </w:r>
      <w:hyperlink r:id="rId49" w:history="1">
        <w:r>
          <w:rPr>
            <w:rStyle w:val="Hyperlink"/>
          </w:rPr>
          <w:t>https://standards.nasa.gov/documents/detail/3315383</w:t>
        </w:r>
      </w:hyperlink>
      <w:r>
        <w:t>.</w:t>
      </w:r>
    </w:p>
    <w:p w14:paraId="352A36E6" w14:textId="77777777" w:rsidR="00DB15E9" w:rsidRDefault="0078312E">
      <w:pPr>
        <w:pStyle w:val="ESSPReferences"/>
      </w:pPr>
      <w:r>
        <w:t xml:space="preserve">NPR 7150.2A, </w:t>
      </w:r>
      <w:r>
        <w:rPr>
          <w:i/>
        </w:rPr>
        <w:t>NASA Software Engineering Requirements,</w:t>
      </w:r>
      <w:r>
        <w:t xml:space="preserve"> November 2009, available at: </w:t>
      </w:r>
      <w:hyperlink r:id="rId50" w:history="1">
        <w:r>
          <w:rPr>
            <w:rStyle w:val="Hyperlink"/>
          </w:rPr>
          <w:t>https://standards.nasa.gov/documents/detail/3315720</w:t>
        </w:r>
      </w:hyperlink>
      <w:r>
        <w:t>.</w:t>
      </w:r>
    </w:p>
    <w:p w14:paraId="2F88F4B7" w14:textId="77777777" w:rsidR="00DB15E9" w:rsidRDefault="0078312E">
      <w:pPr>
        <w:pStyle w:val="ESSPReferences"/>
      </w:pPr>
      <w:r>
        <w:t xml:space="preserve">NPR 8705.4, </w:t>
      </w:r>
      <w:r>
        <w:rPr>
          <w:i/>
        </w:rPr>
        <w:t>Risk Classification for NASA Payloads,</w:t>
      </w:r>
      <w:r>
        <w:t xml:space="preserve"> June 2004, available at: </w:t>
      </w:r>
      <w:hyperlink r:id="rId51" w:history="1">
        <w:r>
          <w:rPr>
            <w:rStyle w:val="Hyperlink"/>
          </w:rPr>
          <w:t>https://standards.nasa.gov/documents/viewdoc/3315479/3315479</w:t>
        </w:r>
      </w:hyperlink>
      <w:r>
        <w:t>.</w:t>
      </w:r>
    </w:p>
    <w:p w14:paraId="3420DE2F" w14:textId="77777777" w:rsidR="00DB15E9" w:rsidRDefault="0078312E">
      <w:pPr>
        <w:pStyle w:val="ESSPReferences"/>
      </w:pPr>
      <w:r>
        <w:t xml:space="preserve">Orbital Sciences Corporation, </w:t>
      </w:r>
      <w:r>
        <w:rPr>
          <w:i/>
        </w:rPr>
        <w:t>Minotaur I User’s Guide</w:t>
      </w:r>
      <w:r>
        <w:t xml:space="preserve">, Release 2.1, January 2006, available at: </w:t>
      </w:r>
      <w:hyperlink r:id="rId52" w:history="1">
        <w:r>
          <w:rPr>
            <w:rStyle w:val="Hyperlink"/>
          </w:rPr>
          <w:t>http://www.orbital.com/NewsInfo/Publications/Minotaur_Guide.pdf</w:t>
        </w:r>
      </w:hyperlink>
      <w:r>
        <w:t>.</w:t>
      </w:r>
    </w:p>
    <w:p w14:paraId="6BF87269" w14:textId="77777777" w:rsidR="00DB15E9" w:rsidRDefault="0078312E">
      <w:pPr>
        <w:pStyle w:val="ESSPReferences"/>
      </w:pPr>
      <w:r>
        <w:t xml:space="preserve">Orbital Sciences Corporation, </w:t>
      </w:r>
      <w:r>
        <w:rPr>
          <w:i/>
        </w:rPr>
        <w:t>Minotaur IV User’s Guide</w:t>
      </w:r>
      <w:r>
        <w:t xml:space="preserve">, Release 1.1, January 2006, available at: </w:t>
      </w:r>
      <w:hyperlink r:id="rId53" w:history="1">
        <w:r>
          <w:rPr>
            <w:rStyle w:val="Hyperlink"/>
          </w:rPr>
          <w:t>http://www.orbital.com/NewsInfo/Publications/Minotaur_IV_Guide.pdf</w:t>
        </w:r>
      </w:hyperlink>
    </w:p>
    <w:p w14:paraId="354A0EF8" w14:textId="77777777" w:rsidR="00DB15E9" w:rsidRDefault="0078312E">
      <w:pPr>
        <w:pStyle w:val="ESSPReferences"/>
      </w:pPr>
      <w:r>
        <w:t xml:space="preserve">Orbital Sciences Corporation, </w:t>
      </w:r>
      <w:r>
        <w:rPr>
          <w:i/>
        </w:rPr>
        <w:t>Pegasus User’s Guide, Release 7.0</w:t>
      </w:r>
      <w:r>
        <w:t xml:space="preserve">, April 2010, available at: </w:t>
      </w:r>
      <w:hyperlink r:id="rId54" w:history="1">
        <w:r>
          <w:rPr>
            <w:rStyle w:val="Hyperlink"/>
          </w:rPr>
          <w:t>http://www.orbital.com/NewsInfo/Publications/pegasus_ug.pdf</w:t>
        </w:r>
      </w:hyperlink>
      <w:r>
        <w:t>.</w:t>
      </w:r>
    </w:p>
    <w:p w14:paraId="752D1E6D" w14:textId="77777777" w:rsidR="00DB15E9" w:rsidRDefault="0078312E">
      <w:pPr>
        <w:pStyle w:val="ESSPReferences"/>
      </w:pPr>
      <w:r>
        <w:rPr>
          <w:i/>
        </w:rPr>
        <w:t>Rapid III Contract Catalog</w:t>
      </w:r>
      <w:r>
        <w:t xml:space="preserve">, NASA Rapid Spacecraft Development Office, available at: </w:t>
      </w:r>
      <w:hyperlink r:id="rId55" w:history="1">
        <w:r>
          <w:rPr>
            <w:rStyle w:val="Hyperlink"/>
          </w:rPr>
          <w:t>http://rsdo.gsfc.nasa.gov/catalog.html</w:t>
        </w:r>
      </w:hyperlink>
      <w:r>
        <w:t>.</w:t>
      </w:r>
    </w:p>
    <w:p w14:paraId="5EF52FBC" w14:textId="77777777" w:rsidR="00DB15E9" w:rsidRDefault="0078312E">
      <w:pPr>
        <w:pStyle w:val="ESSPReferences"/>
      </w:pPr>
      <w:r>
        <w:rPr>
          <w:i/>
        </w:rPr>
        <w:t>Request for Information and Geostationary Earth Orbit Hosted Payload Opportunities and Accommodations,</w:t>
      </w:r>
      <w:r>
        <w:t xml:space="preserve"> April 2012, available at: </w:t>
      </w:r>
      <w:hyperlink r:id="rId56" w:history="1">
        <w:r>
          <w:rPr>
            <w:rStyle w:val="Hyperlink"/>
          </w:rPr>
          <w:t>https://www.fbo.gov/spg/NASA/LaRC/OPDC20220/CII-GEO/listing.html</w:t>
        </w:r>
      </w:hyperlink>
      <w:r>
        <w:t>. RFI Responses are proprietary.</w:t>
      </w:r>
    </w:p>
    <w:p w14:paraId="7F352E1D" w14:textId="77777777" w:rsidR="00DB15E9" w:rsidRDefault="0078312E">
      <w:pPr>
        <w:pStyle w:val="ESSPReferences"/>
      </w:pPr>
      <w:r>
        <w:t xml:space="preserve">Sea Launch Company, </w:t>
      </w:r>
      <w:r>
        <w:rPr>
          <w:i/>
        </w:rPr>
        <w:t>Sea Launch User’s Guide, Revision D</w:t>
      </w:r>
      <w:r>
        <w:t xml:space="preserve">, February 2008, available at: </w:t>
      </w:r>
      <w:hyperlink r:id="rId57" w:history="1">
        <w:r>
          <w:rPr>
            <w:rStyle w:val="Hyperlink"/>
          </w:rPr>
          <w:t>http://www.sea-launch.com/customers_webpage/sluw/doc_src/SectionALL.pdf</w:t>
        </w:r>
      </w:hyperlink>
      <w:r>
        <w:t>.</w:t>
      </w:r>
    </w:p>
    <w:p w14:paraId="3637012D" w14:textId="77777777" w:rsidR="00DB15E9" w:rsidRDefault="0078312E">
      <w:pPr>
        <w:pStyle w:val="ESSPReferences"/>
      </w:pPr>
      <w:r>
        <w:t>Space Test Program – Standard Interface Vehicle (STP-SIV) Payload User’s Guide, June 2008.</w:t>
      </w:r>
    </w:p>
    <w:p w14:paraId="7734F1E3" w14:textId="77777777" w:rsidR="00DB15E9" w:rsidRDefault="0078312E">
      <w:pPr>
        <w:pStyle w:val="ESSPReferences"/>
      </w:pPr>
      <w:r>
        <w:t xml:space="preserve">SpaceX, </w:t>
      </w:r>
      <w:r>
        <w:rPr>
          <w:i/>
        </w:rPr>
        <w:t>Falcon 1 Launch Vehicle Payload User’s Guide, Revision 7,</w:t>
      </w:r>
      <w:r>
        <w:t xml:space="preserve"> May 2008, available at: </w:t>
      </w:r>
      <w:hyperlink r:id="rId58" w:history="1">
        <w:r>
          <w:rPr>
            <w:rStyle w:val="Hyperlink"/>
          </w:rPr>
          <w:t>https://spacex.com/Falcon1UsersGuide.pdf</w:t>
        </w:r>
      </w:hyperlink>
      <w:r>
        <w:t>.</w:t>
      </w:r>
    </w:p>
    <w:p w14:paraId="453089CD" w14:textId="77777777" w:rsidR="00DB15E9" w:rsidRDefault="0078312E">
      <w:pPr>
        <w:pStyle w:val="ESSPReferences"/>
      </w:pPr>
      <w:r>
        <w:t xml:space="preserve">SpaceX, </w:t>
      </w:r>
      <w:r>
        <w:rPr>
          <w:i/>
        </w:rPr>
        <w:t>Falcon 9 Launch Vehicle Payload User’s Guide, Revision 1,</w:t>
      </w:r>
      <w:r>
        <w:t xml:space="preserve"> 2009, available at: </w:t>
      </w:r>
      <w:hyperlink r:id="rId59" w:history="1">
        <w:r>
          <w:rPr>
            <w:rStyle w:val="Hyperlink"/>
          </w:rPr>
          <w:t>https://spacex.com/Falcon9UsersGuide_2009.pdf</w:t>
        </w:r>
      </w:hyperlink>
      <w:r>
        <w:t>.</w:t>
      </w:r>
    </w:p>
    <w:p w14:paraId="72234C85" w14:textId="77777777" w:rsidR="00DB15E9" w:rsidRDefault="0078312E">
      <w:pPr>
        <w:pStyle w:val="ESSPReferences"/>
      </w:pPr>
      <w:r>
        <w:t xml:space="preserve">United Launch Alliance, </w:t>
      </w:r>
      <w:r>
        <w:rPr>
          <w:i/>
        </w:rPr>
        <w:t>Atlas V Launch Services User’s Guide,</w:t>
      </w:r>
      <w:r>
        <w:t xml:space="preserve"> March 2010, available at: </w:t>
      </w:r>
      <w:hyperlink r:id="rId60" w:history="1">
        <w:r>
          <w:rPr>
            <w:rStyle w:val="Hyperlink"/>
          </w:rPr>
          <w:t>http://www.ulalaunch.com/site/docs/product_cards/guides/AtlasVUsersGuide2010.pdf</w:t>
        </w:r>
      </w:hyperlink>
      <w:r>
        <w:t>.</w:t>
      </w:r>
    </w:p>
    <w:p w14:paraId="4F3B7C5B" w14:textId="77777777" w:rsidR="00DB15E9" w:rsidRDefault="0078312E">
      <w:pPr>
        <w:pStyle w:val="ESSPReferences"/>
      </w:pPr>
      <w:r>
        <w:t xml:space="preserve">United Launch Alliance, </w:t>
      </w:r>
      <w:r>
        <w:rPr>
          <w:i/>
        </w:rPr>
        <w:t>Delta II Payload Planners Guide,</w:t>
      </w:r>
      <w:r>
        <w:t xml:space="preserve"> December 2006, available at: </w:t>
      </w:r>
      <w:hyperlink r:id="rId61" w:history="1">
        <w:r>
          <w:rPr>
            <w:rStyle w:val="Hyperlink"/>
          </w:rPr>
          <w:t>http://www.ulalaunch.com/site/docs/product_cards/guides/DeltaIIPayloadPlannersGuide2007.pdf</w:t>
        </w:r>
      </w:hyperlink>
      <w:r>
        <w:t>.</w:t>
      </w:r>
    </w:p>
    <w:p w14:paraId="381E9A95" w14:textId="77777777" w:rsidR="00DB15E9" w:rsidRDefault="0078312E">
      <w:pPr>
        <w:pStyle w:val="ESSPReferences"/>
      </w:pPr>
      <w:r>
        <w:lastRenderedPageBreak/>
        <w:t xml:space="preserve">United Launch Alliance, </w:t>
      </w:r>
      <w:r>
        <w:rPr>
          <w:i/>
        </w:rPr>
        <w:t>Delta IV Payload Planners Guide,</w:t>
      </w:r>
      <w:r>
        <w:t xml:space="preserve"> September 2007, available at: </w:t>
      </w:r>
      <w:hyperlink r:id="rId62" w:history="1">
        <w:r>
          <w:rPr>
            <w:rStyle w:val="Hyperlink"/>
          </w:rPr>
          <w:t>http://www.ulalaunch.com/site/docs/product_cards/guides/DeltaIIPayloadPlannersGuide2007.pdf</w:t>
        </w:r>
      </w:hyperlink>
      <w:r>
        <w:t>.</w:t>
      </w:r>
    </w:p>
    <w:p w14:paraId="091D12B6" w14:textId="77777777" w:rsidR="00DB15E9" w:rsidRDefault="0078312E">
      <w:pPr>
        <w:pStyle w:val="Heading1"/>
      </w:pPr>
      <w:bookmarkStart w:id="376" w:name="_Toc226776114"/>
      <w:bookmarkStart w:id="377" w:name="_Toc471910916"/>
      <w:r>
        <w:lastRenderedPageBreak/>
        <w:t>Units of Measure and Metric Prefixes</w:t>
      </w:r>
      <w:bookmarkEnd w:id="376"/>
      <w:bookmarkEnd w:id="377"/>
    </w:p>
    <w:p w14:paraId="3B6375A8" w14:textId="77777777" w:rsidR="00DB15E9" w:rsidRDefault="0078312E">
      <w:pPr>
        <w:pStyle w:val="ESSPTableCaption"/>
      </w:pPr>
      <w:bookmarkStart w:id="378" w:name="_Toc453056577"/>
      <w:bookmarkStart w:id="379" w:name="_Toc471971574"/>
      <w:r>
        <w:t xml:space="preserve">Table </w:t>
      </w:r>
      <w:r w:rsidR="00BA5284">
        <w:fldChar w:fldCharType="begin"/>
      </w:r>
      <w:r w:rsidR="00BA5284">
        <w:instrText xml:space="preserve"> STYLEREF 1 \s </w:instrText>
      </w:r>
      <w:r w:rsidR="00BA5284">
        <w:fldChar w:fldCharType="separate"/>
      </w:r>
      <w:r>
        <w:rPr>
          <w:noProof/>
        </w:rPr>
        <w:t>6</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1</w:t>
      </w:r>
      <w:r w:rsidR="00BA5284">
        <w:rPr>
          <w:noProof/>
        </w:rPr>
        <w:fldChar w:fldCharType="end"/>
      </w:r>
      <w:r>
        <w:t>: Units of Measure</w:t>
      </w:r>
      <w:bookmarkEnd w:id="378"/>
      <w:bookmarkEnd w:id="379"/>
    </w:p>
    <w:tbl>
      <w:tblPr>
        <w:tblStyle w:val="TableGrid8"/>
        <w:tblW w:w="0" w:type="auto"/>
        <w:jc w:val="center"/>
        <w:tblLook w:val="04A0" w:firstRow="1" w:lastRow="0" w:firstColumn="1" w:lastColumn="0" w:noHBand="0" w:noVBand="1"/>
      </w:tblPr>
      <w:tblGrid>
        <w:gridCol w:w="1817"/>
        <w:gridCol w:w="5373"/>
      </w:tblGrid>
      <w:tr w:rsidR="00DB15E9" w14:paraId="6EC347ED" w14:textId="77777777" w:rsidTr="00DB15E9">
        <w:trPr>
          <w:cnfStyle w:val="100000000000" w:firstRow="1" w:lastRow="0" w:firstColumn="0" w:lastColumn="0" w:oddVBand="0" w:evenVBand="0" w:oddHBand="0" w:evenHBand="0" w:firstRowFirstColumn="0" w:firstRowLastColumn="0" w:lastRowFirstColumn="0" w:lastRowLastColumn="0"/>
          <w:jc w:val="center"/>
        </w:trPr>
        <w:tc>
          <w:tcPr>
            <w:tcW w:w="1817" w:type="dxa"/>
          </w:tcPr>
          <w:p w14:paraId="71A587F1" w14:textId="77777777" w:rsidR="00DB15E9" w:rsidRDefault="0078312E">
            <w:pPr>
              <w:spacing w:after="0"/>
              <w:rPr>
                <w:rFonts w:ascii="Helvetica" w:hAnsi="Helvetica"/>
              </w:rPr>
            </w:pPr>
            <w:r>
              <w:rPr>
                <w:rFonts w:ascii="Helvetica" w:hAnsi="Helvetica"/>
              </w:rPr>
              <w:t>Abbreviation</w:t>
            </w:r>
          </w:p>
        </w:tc>
        <w:tc>
          <w:tcPr>
            <w:tcW w:w="5373" w:type="dxa"/>
          </w:tcPr>
          <w:p w14:paraId="765D278D" w14:textId="77777777" w:rsidR="00DB15E9" w:rsidRDefault="0078312E">
            <w:pPr>
              <w:spacing w:after="0"/>
            </w:pPr>
            <w:r>
              <w:rPr>
                <w:rFonts w:ascii="Helvetica" w:hAnsi="Helvetica"/>
              </w:rPr>
              <w:t>Unit</w:t>
            </w:r>
          </w:p>
        </w:tc>
      </w:tr>
      <w:tr w:rsidR="00DB15E9" w14:paraId="55F05F53" w14:textId="77777777" w:rsidTr="00DB15E9">
        <w:trPr>
          <w:jc w:val="center"/>
        </w:trPr>
        <w:tc>
          <w:tcPr>
            <w:tcW w:w="1817" w:type="dxa"/>
          </w:tcPr>
          <w:p w14:paraId="54AB4B1A" w14:textId="77777777" w:rsidR="00DB15E9" w:rsidRDefault="0078312E">
            <w:pPr>
              <w:spacing w:after="0"/>
              <w:rPr>
                <w:rFonts w:ascii="Helvetica" w:hAnsi="Helvetica"/>
              </w:rPr>
            </w:pPr>
            <w:r>
              <w:rPr>
                <w:rFonts w:ascii="Helvetica" w:hAnsi="Helvetica"/>
              </w:rPr>
              <w:t>A</w:t>
            </w:r>
          </w:p>
        </w:tc>
        <w:tc>
          <w:tcPr>
            <w:tcW w:w="5373" w:type="dxa"/>
          </w:tcPr>
          <w:p w14:paraId="4A6D15F6" w14:textId="77777777" w:rsidR="00DB15E9" w:rsidRDefault="0078312E">
            <w:pPr>
              <w:spacing w:after="0"/>
            </w:pPr>
            <w:r>
              <w:rPr>
                <w:rFonts w:ascii="Helvetica" w:hAnsi="Helvetica"/>
              </w:rPr>
              <w:t>ampere</w:t>
            </w:r>
          </w:p>
        </w:tc>
      </w:tr>
      <w:tr w:rsidR="00DB15E9" w14:paraId="31C91FE7" w14:textId="77777777" w:rsidTr="00DB15E9">
        <w:trPr>
          <w:jc w:val="center"/>
        </w:trPr>
        <w:tc>
          <w:tcPr>
            <w:tcW w:w="1817" w:type="dxa"/>
          </w:tcPr>
          <w:p w14:paraId="0185CEA5" w14:textId="77777777" w:rsidR="00DB15E9" w:rsidRDefault="0078312E">
            <w:pPr>
              <w:spacing w:after="0"/>
              <w:rPr>
                <w:rFonts w:ascii="Helvetica" w:hAnsi="Helvetica"/>
              </w:rPr>
            </w:pPr>
            <w:r>
              <w:rPr>
                <w:rFonts w:ascii="Helvetica" w:hAnsi="Helvetica"/>
              </w:rPr>
              <w:t>arcsec</w:t>
            </w:r>
          </w:p>
        </w:tc>
        <w:tc>
          <w:tcPr>
            <w:tcW w:w="5373" w:type="dxa"/>
          </w:tcPr>
          <w:p w14:paraId="05553B1B" w14:textId="77777777" w:rsidR="00DB15E9" w:rsidRDefault="0078312E">
            <w:pPr>
              <w:spacing w:after="0"/>
            </w:pPr>
            <w:r>
              <w:rPr>
                <w:rFonts w:ascii="Helvetica" w:hAnsi="Helvetica"/>
              </w:rPr>
              <w:t>arc-second</w:t>
            </w:r>
          </w:p>
        </w:tc>
      </w:tr>
      <w:tr w:rsidR="00DB15E9" w14:paraId="2C8691B8" w14:textId="77777777" w:rsidTr="00DB15E9">
        <w:trPr>
          <w:jc w:val="center"/>
        </w:trPr>
        <w:tc>
          <w:tcPr>
            <w:tcW w:w="1817" w:type="dxa"/>
          </w:tcPr>
          <w:p w14:paraId="0BD99C86" w14:textId="77777777" w:rsidR="00DB15E9" w:rsidRDefault="0078312E">
            <w:pPr>
              <w:spacing w:after="0"/>
              <w:rPr>
                <w:rFonts w:ascii="Helvetica" w:hAnsi="Helvetica"/>
              </w:rPr>
            </w:pPr>
            <w:r>
              <w:rPr>
                <w:rFonts w:ascii="Helvetica" w:hAnsi="Helvetica"/>
              </w:rPr>
              <w:t>B</w:t>
            </w:r>
          </w:p>
        </w:tc>
        <w:tc>
          <w:tcPr>
            <w:tcW w:w="5373" w:type="dxa"/>
          </w:tcPr>
          <w:p w14:paraId="36566C54" w14:textId="77777777" w:rsidR="00DB15E9" w:rsidRDefault="0078312E">
            <w:pPr>
              <w:spacing w:after="0"/>
            </w:pPr>
            <w:r>
              <w:rPr>
                <w:rFonts w:ascii="Helvetica" w:hAnsi="Helvetica"/>
              </w:rPr>
              <w:t>bel</w:t>
            </w:r>
          </w:p>
        </w:tc>
      </w:tr>
      <w:tr w:rsidR="00DB15E9" w14:paraId="32DA1C5A" w14:textId="77777777" w:rsidTr="00DB15E9">
        <w:trPr>
          <w:jc w:val="center"/>
        </w:trPr>
        <w:tc>
          <w:tcPr>
            <w:tcW w:w="1817" w:type="dxa"/>
          </w:tcPr>
          <w:p w14:paraId="41910EAB" w14:textId="77777777" w:rsidR="00DB15E9" w:rsidRDefault="0078312E">
            <w:pPr>
              <w:spacing w:after="0"/>
              <w:rPr>
                <w:rFonts w:ascii="Helvetica" w:hAnsi="Helvetica" w:cs="Arial"/>
              </w:rPr>
            </w:pPr>
            <w:r>
              <w:rPr>
                <w:rFonts w:ascii="Helvetica" w:hAnsi="Helvetica" w:cs="Arial"/>
              </w:rPr>
              <w:t>bps</w:t>
            </w:r>
          </w:p>
        </w:tc>
        <w:tc>
          <w:tcPr>
            <w:tcW w:w="5373" w:type="dxa"/>
          </w:tcPr>
          <w:p w14:paraId="74EC9341" w14:textId="77777777" w:rsidR="00DB15E9" w:rsidRDefault="0078312E">
            <w:pPr>
              <w:spacing w:after="0"/>
            </w:pPr>
            <w:r>
              <w:rPr>
                <w:rFonts w:ascii="Helvetica" w:hAnsi="Helvetica"/>
              </w:rPr>
              <w:t>bits per second</w:t>
            </w:r>
          </w:p>
        </w:tc>
      </w:tr>
      <w:tr w:rsidR="00DB15E9" w14:paraId="4D53A8B3" w14:textId="77777777" w:rsidTr="00DB15E9">
        <w:trPr>
          <w:jc w:val="center"/>
        </w:trPr>
        <w:tc>
          <w:tcPr>
            <w:tcW w:w="1817" w:type="dxa"/>
          </w:tcPr>
          <w:p w14:paraId="747E665C" w14:textId="77777777" w:rsidR="00DB15E9" w:rsidRDefault="0078312E">
            <w:pPr>
              <w:spacing w:after="0"/>
              <w:rPr>
                <w:rFonts w:ascii="Helvetica" w:hAnsi="Helvetica"/>
              </w:rPr>
            </w:pPr>
            <w:r>
              <w:rPr>
                <w:rFonts w:ascii="Helvetica" w:hAnsi="Helvetica"/>
              </w:rPr>
              <w:t>eV</w:t>
            </w:r>
          </w:p>
        </w:tc>
        <w:tc>
          <w:tcPr>
            <w:tcW w:w="5373" w:type="dxa"/>
          </w:tcPr>
          <w:p w14:paraId="3029C412" w14:textId="77777777" w:rsidR="00DB15E9" w:rsidRDefault="0078312E">
            <w:pPr>
              <w:spacing w:after="0"/>
            </w:pPr>
            <w:r>
              <w:rPr>
                <w:rFonts w:ascii="Helvetica" w:hAnsi="Helvetica"/>
              </w:rPr>
              <w:t>electron-volt</w:t>
            </w:r>
          </w:p>
        </w:tc>
      </w:tr>
      <w:tr w:rsidR="00DB15E9" w14:paraId="50DBC56B" w14:textId="77777777" w:rsidTr="00DB15E9">
        <w:trPr>
          <w:jc w:val="center"/>
        </w:trPr>
        <w:tc>
          <w:tcPr>
            <w:tcW w:w="1817" w:type="dxa"/>
          </w:tcPr>
          <w:p w14:paraId="1D7BC3C8" w14:textId="77777777" w:rsidR="00DB15E9" w:rsidRDefault="0078312E">
            <w:pPr>
              <w:spacing w:after="0"/>
              <w:rPr>
                <w:rFonts w:ascii="Helvetica" w:hAnsi="Helvetica"/>
              </w:rPr>
            </w:pPr>
            <w:r>
              <w:rPr>
                <w:rFonts w:ascii="Helvetica" w:hAnsi="Helvetica"/>
              </w:rPr>
              <w:t>F</w:t>
            </w:r>
          </w:p>
        </w:tc>
        <w:tc>
          <w:tcPr>
            <w:tcW w:w="5373" w:type="dxa"/>
          </w:tcPr>
          <w:p w14:paraId="30128096" w14:textId="77777777" w:rsidR="00DB15E9" w:rsidRDefault="0078312E">
            <w:pPr>
              <w:spacing w:after="0"/>
            </w:pPr>
            <w:r>
              <w:rPr>
                <w:rFonts w:ascii="Helvetica" w:hAnsi="Helvetica"/>
              </w:rPr>
              <w:t>farad</w:t>
            </w:r>
          </w:p>
        </w:tc>
      </w:tr>
      <w:tr w:rsidR="00DB15E9" w14:paraId="161770EA" w14:textId="77777777" w:rsidTr="00DB15E9">
        <w:trPr>
          <w:jc w:val="center"/>
        </w:trPr>
        <w:tc>
          <w:tcPr>
            <w:tcW w:w="1817" w:type="dxa"/>
          </w:tcPr>
          <w:p w14:paraId="1A318C4A" w14:textId="77777777" w:rsidR="00DB15E9" w:rsidRDefault="0078312E">
            <w:pPr>
              <w:spacing w:after="0"/>
              <w:rPr>
                <w:rFonts w:ascii="Helvetica" w:hAnsi="Helvetica"/>
              </w:rPr>
            </w:pPr>
            <w:r>
              <w:rPr>
                <w:rFonts w:ascii="Helvetica" w:hAnsi="Helvetica"/>
              </w:rPr>
              <w:t>g</w:t>
            </w:r>
          </w:p>
        </w:tc>
        <w:tc>
          <w:tcPr>
            <w:tcW w:w="5373" w:type="dxa"/>
          </w:tcPr>
          <w:p w14:paraId="79DFB45E" w14:textId="77777777" w:rsidR="00DB15E9" w:rsidRDefault="0078312E">
            <w:pPr>
              <w:spacing w:after="0"/>
            </w:pPr>
            <w:r>
              <w:rPr>
                <w:rFonts w:ascii="Helvetica" w:hAnsi="Helvetica"/>
              </w:rPr>
              <w:t>gram</w:t>
            </w:r>
          </w:p>
        </w:tc>
      </w:tr>
      <w:tr w:rsidR="00DB15E9" w14:paraId="7B1DDFB2" w14:textId="77777777" w:rsidTr="00DB15E9">
        <w:trPr>
          <w:jc w:val="center"/>
        </w:trPr>
        <w:tc>
          <w:tcPr>
            <w:tcW w:w="1817" w:type="dxa"/>
          </w:tcPr>
          <w:p w14:paraId="1C5370BD" w14:textId="77777777" w:rsidR="00DB15E9" w:rsidRDefault="0078312E">
            <w:pPr>
              <w:spacing w:after="0"/>
              <w:rPr>
                <w:rFonts w:ascii="Helvetica" w:hAnsi="Helvetica" w:cs="Arial"/>
              </w:rPr>
            </w:pPr>
            <w:r>
              <w:rPr>
                <w:rFonts w:ascii="Helvetica" w:hAnsi="Helvetica" w:cs="Arial"/>
              </w:rPr>
              <w:t>Hz</w:t>
            </w:r>
          </w:p>
        </w:tc>
        <w:tc>
          <w:tcPr>
            <w:tcW w:w="5373" w:type="dxa"/>
          </w:tcPr>
          <w:p w14:paraId="4818D12F" w14:textId="77777777" w:rsidR="00DB15E9" w:rsidRDefault="0078312E">
            <w:pPr>
              <w:spacing w:after="0"/>
            </w:pPr>
            <w:r>
              <w:rPr>
                <w:rFonts w:ascii="Helvetica" w:hAnsi="Helvetica"/>
              </w:rPr>
              <w:t>hertz</w:t>
            </w:r>
          </w:p>
        </w:tc>
      </w:tr>
      <w:tr w:rsidR="00DB15E9" w14:paraId="647E8A38" w14:textId="77777777" w:rsidTr="00DB15E9">
        <w:trPr>
          <w:jc w:val="center"/>
        </w:trPr>
        <w:tc>
          <w:tcPr>
            <w:tcW w:w="1817" w:type="dxa"/>
          </w:tcPr>
          <w:p w14:paraId="441BB7E2" w14:textId="77777777" w:rsidR="00DB15E9" w:rsidRDefault="0078312E">
            <w:pPr>
              <w:spacing w:after="0"/>
              <w:rPr>
                <w:rFonts w:ascii="Helvetica" w:hAnsi="Helvetica"/>
              </w:rPr>
            </w:pPr>
            <w:r>
              <w:rPr>
                <w:rFonts w:ascii="Helvetica" w:hAnsi="Helvetica"/>
              </w:rPr>
              <w:t>J</w:t>
            </w:r>
          </w:p>
        </w:tc>
        <w:tc>
          <w:tcPr>
            <w:tcW w:w="5373" w:type="dxa"/>
          </w:tcPr>
          <w:p w14:paraId="766A3BA1" w14:textId="77777777" w:rsidR="00DB15E9" w:rsidRDefault="0078312E">
            <w:pPr>
              <w:spacing w:after="0"/>
            </w:pPr>
            <w:r>
              <w:rPr>
                <w:rFonts w:ascii="Helvetica" w:hAnsi="Helvetica"/>
              </w:rPr>
              <w:t>joule</w:t>
            </w:r>
          </w:p>
        </w:tc>
      </w:tr>
      <w:tr w:rsidR="00DB15E9" w14:paraId="53954709" w14:textId="77777777" w:rsidTr="00DB15E9">
        <w:trPr>
          <w:jc w:val="center"/>
        </w:trPr>
        <w:tc>
          <w:tcPr>
            <w:tcW w:w="1817" w:type="dxa"/>
          </w:tcPr>
          <w:p w14:paraId="65897490" w14:textId="77777777" w:rsidR="00DB15E9" w:rsidRDefault="0078312E">
            <w:pPr>
              <w:spacing w:after="0"/>
              <w:rPr>
                <w:rFonts w:ascii="Helvetica" w:hAnsi="Helvetica" w:cs="Arial"/>
              </w:rPr>
            </w:pPr>
            <w:r>
              <w:rPr>
                <w:rFonts w:ascii="Helvetica" w:hAnsi="Helvetica" w:cs="Arial"/>
              </w:rPr>
              <w:t>m</w:t>
            </w:r>
          </w:p>
        </w:tc>
        <w:tc>
          <w:tcPr>
            <w:tcW w:w="5373" w:type="dxa"/>
          </w:tcPr>
          <w:p w14:paraId="65499991" w14:textId="77777777" w:rsidR="00DB15E9" w:rsidRDefault="0078312E">
            <w:pPr>
              <w:spacing w:after="0"/>
            </w:pPr>
            <w:r>
              <w:rPr>
                <w:rFonts w:ascii="Helvetica" w:hAnsi="Helvetica"/>
              </w:rPr>
              <w:t>meter</w:t>
            </w:r>
          </w:p>
        </w:tc>
      </w:tr>
      <w:tr w:rsidR="00DB15E9" w14:paraId="7BC59B11" w14:textId="77777777" w:rsidTr="00DB15E9">
        <w:trPr>
          <w:jc w:val="center"/>
        </w:trPr>
        <w:tc>
          <w:tcPr>
            <w:tcW w:w="1817" w:type="dxa"/>
          </w:tcPr>
          <w:p w14:paraId="20D30BAC" w14:textId="77777777" w:rsidR="00DB15E9" w:rsidRDefault="0078312E">
            <w:pPr>
              <w:spacing w:after="0"/>
              <w:rPr>
                <w:rFonts w:ascii="Helvetica" w:hAnsi="Helvetica" w:cs="Arial"/>
              </w:rPr>
            </w:pPr>
            <w:r>
              <w:rPr>
                <w:rFonts w:ascii="Helvetica" w:hAnsi="Helvetica" w:cs="Arial"/>
              </w:rPr>
              <w:t>N</w:t>
            </w:r>
          </w:p>
        </w:tc>
        <w:tc>
          <w:tcPr>
            <w:tcW w:w="5373" w:type="dxa"/>
          </w:tcPr>
          <w:p w14:paraId="5B73926F" w14:textId="77777777" w:rsidR="00DB15E9" w:rsidRDefault="0078312E">
            <w:pPr>
              <w:spacing w:after="0"/>
            </w:pPr>
            <w:r>
              <w:rPr>
                <w:rFonts w:ascii="Helvetica" w:hAnsi="Helvetica"/>
              </w:rPr>
              <w:t>newton</w:t>
            </w:r>
          </w:p>
        </w:tc>
      </w:tr>
      <w:tr w:rsidR="00DB15E9" w14:paraId="36A5F2DD" w14:textId="77777777" w:rsidTr="00DB15E9">
        <w:trPr>
          <w:jc w:val="center"/>
        </w:trPr>
        <w:tc>
          <w:tcPr>
            <w:tcW w:w="1817" w:type="dxa"/>
          </w:tcPr>
          <w:p w14:paraId="66DAC6D8" w14:textId="77777777" w:rsidR="00DB15E9" w:rsidRDefault="0078312E">
            <w:pPr>
              <w:spacing w:after="0"/>
              <w:rPr>
                <w:rFonts w:ascii="Helvetica" w:hAnsi="Helvetica"/>
              </w:rPr>
            </w:pPr>
            <w:r>
              <w:rPr>
                <w:rFonts w:ascii="Helvetica" w:hAnsi="Helvetica"/>
              </w:rPr>
              <w:t>Pa</w:t>
            </w:r>
          </w:p>
        </w:tc>
        <w:tc>
          <w:tcPr>
            <w:tcW w:w="5373" w:type="dxa"/>
          </w:tcPr>
          <w:p w14:paraId="720B4D6B" w14:textId="77777777" w:rsidR="00DB15E9" w:rsidRDefault="0078312E">
            <w:pPr>
              <w:spacing w:after="0"/>
            </w:pPr>
            <w:r>
              <w:rPr>
                <w:rFonts w:ascii="Helvetica" w:hAnsi="Helvetica"/>
              </w:rPr>
              <w:t>pascal</w:t>
            </w:r>
          </w:p>
        </w:tc>
      </w:tr>
      <w:tr w:rsidR="00DB15E9" w14:paraId="152F84D0" w14:textId="77777777" w:rsidTr="00DB15E9">
        <w:trPr>
          <w:jc w:val="center"/>
        </w:trPr>
        <w:tc>
          <w:tcPr>
            <w:tcW w:w="1817" w:type="dxa"/>
          </w:tcPr>
          <w:p w14:paraId="1762DED5" w14:textId="77777777" w:rsidR="00DB15E9" w:rsidRDefault="0078312E">
            <w:pPr>
              <w:spacing w:after="0"/>
              <w:rPr>
                <w:rFonts w:ascii="Helvetica" w:hAnsi="Helvetica"/>
              </w:rPr>
            </w:pPr>
            <w:r>
              <w:rPr>
                <w:rFonts w:ascii="Helvetica" w:hAnsi="Helvetica"/>
              </w:rPr>
              <w:t>Rad [Si]</w:t>
            </w:r>
          </w:p>
        </w:tc>
        <w:tc>
          <w:tcPr>
            <w:tcW w:w="5373" w:type="dxa"/>
          </w:tcPr>
          <w:p w14:paraId="470B3CFD" w14:textId="77777777" w:rsidR="00DB15E9" w:rsidRDefault="0078312E">
            <w:pPr>
              <w:spacing w:after="0"/>
            </w:pPr>
            <w:r>
              <w:rPr>
                <w:rFonts w:ascii="Helvetica" w:hAnsi="Helvetica"/>
              </w:rPr>
              <w:t xml:space="preserve">radiation absorbed dose </w:t>
            </w:r>
            <w:r>
              <w:rPr>
                <w:rFonts w:ascii="Times New Roman" w:hAnsi="Times New Roman"/>
              </w:rPr>
              <w:t>≡</w:t>
            </w:r>
            <w:r>
              <w:rPr>
                <w:rFonts w:ascii="Helvetica" w:hAnsi="Helvetica"/>
              </w:rPr>
              <w:t xml:space="preserve"> 0.01 J/(kg of Silicon)</w:t>
            </w:r>
          </w:p>
        </w:tc>
      </w:tr>
      <w:tr w:rsidR="00DB15E9" w14:paraId="02234CC0" w14:textId="77777777" w:rsidTr="00DB15E9">
        <w:trPr>
          <w:jc w:val="center"/>
        </w:trPr>
        <w:tc>
          <w:tcPr>
            <w:tcW w:w="1817" w:type="dxa"/>
          </w:tcPr>
          <w:p w14:paraId="5B06DD4D" w14:textId="77777777" w:rsidR="00DB15E9" w:rsidRDefault="0078312E">
            <w:pPr>
              <w:spacing w:after="0"/>
              <w:rPr>
                <w:rFonts w:ascii="Helvetica" w:hAnsi="Helvetica"/>
              </w:rPr>
            </w:pPr>
            <w:r>
              <w:rPr>
                <w:rFonts w:ascii="Helvetica" w:hAnsi="Helvetica"/>
              </w:rPr>
              <w:t>s</w:t>
            </w:r>
          </w:p>
        </w:tc>
        <w:tc>
          <w:tcPr>
            <w:tcW w:w="5373" w:type="dxa"/>
          </w:tcPr>
          <w:p w14:paraId="3164C697" w14:textId="77777777" w:rsidR="00DB15E9" w:rsidRDefault="0078312E">
            <w:pPr>
              <w:spacing w:after="0"/>
            </w:pPr>
            <w:r>
              <w:rPr>
                <w:rFonts w:ascii="Helvetica" w:hAnsi="Helvetica"/>
              </w:rPr>
              <w:t>second</w:t>
            </w:r>
          </w:p>
        </w:tc>
      </w:tr>
      <w:tr w:rsidR="00DB15E9" w14:paraId="5F2E9272" w14:textId="77777777" w:rsidTr="00DB15E9">
        <w:trPr>
          <w:jc w:val="center"/>
        </w:trPr>
        <w:tc>
          <w:tcPr>
            <w:tcW w:w="1817" w:type="dxa"/>
          </w:tcPr>
          <w:p w14:paraId="1F441694" w14:textId="77777777" w:rsidR="00DB15E9" w:rsidRDefault="0078312E">
            <w:pPr>
              <w:spacing w:after="0"/>
              <w:rPr>
                <w:rFonts w:ascii="Helvetica" w:hAnsi="Helvetica"/>
              </w:rPr>
            </w:pPr>
            <w:r>
              <w:rPr>
                <w:rFonts w:ascii="Helvetica" w:hAnsi="Helvetica"/>
              </w:rPr>
              <w:t>T</w:t>
            </w:r>
          </w:p>
        </w:tc>
        <w:tc>
          <w:tcPr>
            <w:tcW w:w="5373" w:type="dxa"/>
          </w:tcPr>
          <w:p w14:paraId="1222E16B" w14:textId="77777777" w:rsidR="00DB15E9" w:rsidRDefault="0078312E">
            <w:pPr>
              <w:spacing w:after="0"/>
            </w:pPr>
            <w:r>
              <w:rPr>
                <w:rFonts w:ascii="Helvetica" w:hAnsi="Helvetica"/>
              </w:rPr>
              <w:t>tesla</w:t>
            </w:r>
          </w:p>
        </w:tc>
      </w:tr>
      <w:tr w:rsidR="00DB15E9" w14:paraId="021B1645" w14:textId="77777777" w:rsidTr="00DB15E9">
        <w:trPr>
          <w:jc w:val="center"/>
        </w:trPr>
        <w:tc>
          <w:tcPr>
            <w:tcW w:w="1817" w:type="dxa"/>
          </w:tcPr>
          <w:p w14:paraId="18B511AF" w14:textId="77777777" w:rsidR="00DB15E9" w:rsidRDefault="0078312E">
            <w:pPr>
              <w:spacing w:after="0"/>
              <w:rPr>
                <w:rFonts w:ascii="Helvetica" w:hAnsi="Helvetica" w:cs="Arial"/>
              </w:rPr>
            </w:pPr>
            <w:r>
              <w:rPr>
                <w:rFonts w:ascii="Helvetica" w:hAnsi="Helvetica" w:cs="Arial"/>
              </w:rPr>
              <w:t>Torr</w:t>
            </w:r>
          </w:p>
        </w:tc>
        <w:tc>
          <w:tcPr>
            <w:tcW w:w="5373" w:type="dxa"/>
          </w:tcPr>
          <w:p w14:paraId="75741A1F" w14:textId="77777777" w:rsidR="00DB15E9" w:rsidRDefault="0078312E">
            <w:pPr>
              <w:spacing w:after="0"/>
            </w:pPr>
            <w:r>
              <w:rPr>
                <w:rFonts w:ascii="Helvetica" w:hAnsi="Helvetica"/>
              </w:rPr>
              <w:t>torr</w:t>
            </w:r>
          </w:p>
        </w:tc>
      </w:tr>
      <w:tr w:rsidR="00DB15E9" w14:paraId="2FA02693" w14:textId="77777777" w:rsidTr="00DB15E9">
        <w:trPr>
          <w:jc w:val="center"/>
        </w:trPr>
        <w:tc>
          <w:tcPr>
            <w:tcW w:w="1817" w:type="dxa"/>
          </w:tcPr>
          <w:p w14:paraId="6432040B" w14:textId="77777777" w:rsidR="00DB15E9" w:rsidRDefault="0078312E">
            <w:pPr>
              <w:spacing w:after="0"/>
              <w:rPr>
                <w:rFonts w:ascii="Helvetica" w:hAnsi="Helvetica" w:cs="Arial"/>
              </w:rPr>
            </w:pPr>
            <w:r>
              <w:rPr>
                <w:rFonts w:ascii="Helvetica" w:hAnsi="Helvetica" w:cs="Arial"/>
              </w:rPr>
              <w:t>V</w:t>
            </w:r>
          </w:p>
        </w:tc>
        <w:tc>
          <w:tcPr>
            <w:tcW w:w="5373" w:type="dxa"/>
          </w:tcPr>
          <w:p w14:paraId="6DD215ED" w14:textId="77777777" w:rsidR="00DB15E9" w:rsidRDefault="0078312E">
            <w:pPr>
              <w:spacing w:after="0"/>
            </w:pPr>
            <w:r>
              <w:rPr>
                <w:rFonts w:ascii="Helvetica" w:hAnsi="Helvetica"/>
              </w:rPr>
              <w:t>volt</w:t>
            </w:r>
          </w:p>
        </w:tc>
      </w:tr>
      <w:tr w:rsidR="00DB15E9" w14:paraId="73FA718C" w14:textId="77777777" w:rsidTr="00DB15E9">
        <w:trPr>
          <w:jc w:val="center"/>
        </w:trPr>
        <w:tc>
          <w:tcPr>
            <w:tcW w:w="1817" w:type="dxa"/>
          </w:tcPr>
          <w:p w14:paraId="2DF4AA73" w14:textId="77777777" w:rsidR="00DB15E9" w:rsidRDefault="0078312E">
            <w:pPr>
              <w:spacing w:after="0"/>
              <w:rPr>
                <w:rFonts w:ascii="Helvetica" w:hAnsi="Helvetica"/>
              </w:rPr>
            </w:pPr>
            <w:r>
              <w:rPr>
                <w:rFonts w:ascii="Helvetica" w:hAnsi="Helvetica" w:cs="Arial"/>
              </w:rPr>
              <w:t>Ω</w:t>
            </w:r>
          </w:p>
        </w:tc>
        <w:tc>
          <w:tcPr>
            <w:tcW w:w="5373" w:type="dxa"/>
          </w:tcPr>
          <w:p w14:paraId="1E3BB779" w14:textId="77777777" w:rsidR="00DB15E9" w:rsidRDefault="0078312E">
            <w:pPr>
              <w:spacing w:after="0"/>
              <w:rPr>
                <w:rFonts w:ascii="Helvetica" w:hAnsi="Helvetica"/>
              </w:rPr>
            </w:pPr>
            <w:r>
              <w:rPr>
                <w:rFonts w:ascii="Helvetica" w:hAnsi="Helvetica"/>
              </w:rPr>
              <w:t>ohm</w:t>
            </w:r>
          </w:p>
        </w:tc>
      </w:tr>
    </w:tbl>
    <w:p w14:paraId="69E30AD5" w14:textId="77777777" w:rsidR="00DB15E9" w:rsidRDefault="00DB15E9">
      <w:pPr>
        <w:tabs>
          <w:tab w:val="clear" w:pos="1440"/>
          <w:tab w:val="clear" w:pos="4140"/>
          <w:tab w:val="clear" w:pos="7920"/>
        </w:tabs>
        <w:spacing w:after="0"/>
        <w:rPr>
          <w:rFonts w:ascii="Helvetica" w:hAnsi="Helvetica"/>
        </w:rPr>
      </w:pPr>
    </w:p>
    <w:p w14:paraId="46237AB3" w14:textId="77777777" w:rsidR="00DB15E9" w:rsidRDefault="0078312E">
      <w:pPr>
        <w:pStyle w:val="ESSPTableCaption"/>
      </w:pPr>
      <w:bookmarkStart w:id="380" w:name="_Toc453056578"/>
      <w:bookmarkStart w:id="381" w:name="_Toc471971575"/>
      <w:r>
        <w:t xml:space="preserve">Table </w:t>
      </w:r>
      <w:r w:rsidR="00BA5284">
        <w:fldChar w:fldCharType="begin"/>
      </w:r>
      <w:r w:rsidR="00BA5284">
        <w:instrText xml:space="preserve"> STYLEREF 1 \s </w:instrText>
      </w:r>
      <w:r w:rsidR="00BA5284">
        <w:fldChar w:fldCharType="separate"/>
      </w:r>
      <w:r>
        <w:rPr>
          <w:noProof/>
        </w:rPr>
        <w:t>6</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2</w:t>
      </w:r>
      <w:r w:rsidR="00BA5284">
        <w:rPr>
          <w:noProof/>
        </w:rPr>
        <w:fldChar w:fldCharType="end"/>
      </w:r>
      <w:r>
        <w:t>: Metric Prefixes</w:t>
      </w:r>
      <w:bookmarkEnd w:id="380"/>
      <w:bookmarkEnd w:id="381"/>
    </w:p>
    <w:tbl>
      <w:tblPr>
        <w:tblStyle w:val="TableGrid8"/>
        <w:tblW w:w="0" w:type="auto"/>
        <w:jc w:val="center"/>
        <w:tblLook w:val="04A0" w:firstRow="1" w:lastRow="0" w:firstColumn="1" w:lastColumn="0" w:noHBand="0" w:noVBand="1"/>
      </w:tblPr>
      <w:tblGrid>
        <w:gridCol w:w="1017"/>
        <w:gridCol w:w="1572"/>
      </w:tblGrid>
      <w:tr w:rsidR="00DB15E9" w14:paraId="6A2B7469" w14:textId="77777777" w:rsidTr="00DB15E9">
        <w:trPr>
          <w:cnfStyle w:val="100000000000" w:firstRow="1" w:lastRow="0" w:firstColumn="0" w:lastColumn="0" w:oddVBand="0" w:evenVBand="0" w:oddHBand="0" w:evenHBand="0" w:firstRowFirstColumn="0" w:firstRowLastColumn="0" w:lastRowFirstColumn="0" w:lastRowLastColumn="0"/>
          <w:jc w:val="center"/>
        </w:trPr>
        <w:tc>
          <w:tcPr>
            <w:tcW w:w="1017" w:type="dxa"/>
          </w:tcPr>
          <w:p w14:paraId="5A26FF64" w14:textId="77777777" w:rsidR="00DB15E9" w:rsidRDefault="0078312E">
            <w:pPr>
              <w:keepNext/>
              <w:spacing w:after="0"/>
              <w:rPr>
                <w:rFonts w:ascii="Helvetica" w:hAnsi="Helvetica"/>
              </w:rPr>
            </w:pPr>
            <w:r>
              <w:rPr>
                <w:rFonts w:ascii="Helvetica" w:hAnsi="Helvetica"/>
              </w:rPr>
              <w:t>Prefix</w:t>
            </w:r>
          </w:p>
        </w:tc>
        <w:tc>
          <w:tcPr>
            <w:tcW w:w="1572" w:type="dxa"/>
          </w:tcPr>
          <w:p w14:paraId="25207B6B" w14:textId="77777777" w:rsidR="00DB15E9" w:rsidRDefault="0078312E">
            <w:pPr>
              <w:keepNext/>
              <w:spacing w:after="0"/>
              <w:rPr>
                <w:rFonts w:ascii="Helvetica" w:hAnsi="Helvetica"/>
              </w:rPr>
            </w:pPr>
            <w:r>
              <w:rPr>
                <w:rFonts w:ascii="Helvetica" w:hAnsi="Helvetica"/>
              </w:rPr>
              <w:t>Meaning</w:t>
            </w:r>
          </w:p>
        </w:tc>
      </w:tr>
      <w:tr w:rsidR="00DB15E9" w14:paraId="0A50C4E0" w14:textId="77777777" w:rsidTr="00DB15E9">
        <w:trPr>
          <w:trHeight w:val="71"/>
          <w:jc w:val="center"/>
        </w:trPr>
        <w:tc>
          <w:tcPr>
            <w:tcW w:w="1017" w:type="dxa"/>
          </w:tcPr>
          <w:p w14:paraId="201DD75C" w14:textId="77777777" w:rsidR="00DB15E9" w:rsidRDefault="0078312E">
            <w:pPr>
              <w:pStyle w:val="ESSPTableText"/>
            </w:pPr>
            <w:r>
              <w:t>M</w:t>
            </w:r>
          </w:p>
        </w:tc>
        <w:tc>
          <w:tcPr>
            <w:tcW w:w="1572" w:type="dxa"/>
          </w:tcPr>
          <w:p w14:paraId="33DB9786" w14:textId="77777777" w:rsidR="00DB15E9" w:rsidRDefault="0078312E">
            <w:pPr>
              <w:pStyle w:val="ESSPTableText"/>
            </w:pPr>
            <w:r>
              <w:t>mega (10</w:t>
            </w:r>
            <w:r>
              <w:rPr>
                <w:vertAlign w:val="superscript"/>
              </w:rPr>
              <w:t>6</w:t>
            </w:r>
            <w:r>
              <w:t>)</w:t>
            </w:r>
          </w:p>
        </w:tc>
      </w:tr>
      <w:tr w:rsidR="00DB15E9" w14:paraId="2F54A6A1" w14:textId="77777777" w:rsidTr="00DB15E9">
        <w:trPr>
          <w:jc w:val="center"/>
        </w:trPr>
        <w:tc>
          <w:tcPr>
            <w:tcW w:w="1017" w:type="dxa"/>
          </w:tcPr>
          <w:p w14:paraId="579D8D01" w14:textId="77777777" w:rsidR="00DB15E9" w:rsidRDefault="0078312E">
            <w:pPr>
              <w:pStyle w:val="ESSPTableText"/>
            </w:pPr>
            <w:r>
              <w:t>k</w:t>
            </w:r>
          </w:p>
        </w:tc>
        <w:tc>
          <w:tcPr>
            <w:tcW w:w="1572" w:type="dxa"/>
          </w:tcPr>
          <w:p w14:paraId="52375214" w14:textId="77777777" w:rsidR="00DB15E9" w:rsidRDefault="0078312E">
            <w:pPr>
              <w:pStyle w:val="ESSPTableText"/>
            </w:pPr>
            <w:r>
              <w:t>kilo (10</w:t>
            </w:r>
            <w:r>
              <w:rPr>
                <w:vertAlign w:val="superscript"/>
              </w:rPr>
              <w:t>3</w:t>
            </w:r>
            <w:r>
              <w:t>)</w:t>
            </w:r>
          </w:p>
        </w:tc>
      </w:tr>
      <w:tr w:rsidR="00DB15E9" w14:paraId="30853CA9" w14:textId="77777777" w:rsidTr="00DB15E9">
        <w:trPr>
          <w:jc w:val="center"/>
        </w:trPr>
        <w:tc>
          <w:tcPr>
            <w:tcW w:w="1017" w:type="dxa"/>
          </w:tcPr>
          <w:p w14:paraId="5D892E67" w14:textId="77777777" w:rsidR="00DB15E9" w:rsidRDefault="0078312E">
            <w:pPr>
              <w:pStyle w:val="ESSPTableText"/>
            </w:pPr>
            <w:r>
              <w:t>d</w:t>
            </w:r>
          </w:p>
        </w:tc>
        <w:tc>
          <w:tcPr>
            <w:tcW w:w="1572" w:type="dxa"/>
          </w:tcPr>
          <w:p w14:paraId="72C5FCEE" w14:textId="77777777" w:rsidR="00DB15E9" w:rsidRDefault="0078312E">
            <w:pPr>
              <w:pStyle w:val="ESSPTableText"/>
            </w:pPr>
            <w:r>
              <w:t>deci (10</w:t>
            </w:r>
            <w:r>
              <w:rPr>
                <w:vertAlign w:val="superscript"/>
              </w:rPr>
              <w:t>-1</w:t>
            </w:r>
            <w:r>
              <w:t>)</w:t>
            </w:r>
          </w:p>
        </w:tc>
      </w:tr>
      <w:tr w:rsidR="00DB15E9" w14:paraId="57B99709" w14:textId="77777777" w:rsidTr="00DB15E9">
        <w:trPr>
          <w:jc w:val="center"/>
        </w:trPr>
        <w:tc>
          <w:tcPr>
            <w:tcW w:w="1017" w:type="dxa"/>
          </w:tcPr>
          <w:p w14:paraId="0274DF2A" w14:textId="77777777" w:rsidR="00DB15E9" w:rsidRDefault="0078312E">
            <w:pPr>
              <w:pStyle w:val="ESSPTableText"/>
            </w:pPr>
            <w:r>
              <w:t>c</w:t>
            </w:r>
          </w:p>
        </w:tc>
        <w:tc>
          <w:tcPr>
            <w:tcW w:w="1572" w:type="dxa"/>
          </w:tcPr>
          <w:p w14:paraId="58A1F179" w14:textId="77777777" w:rsidR="00DB15E9" w:rsidRDefault="0078312E">
            <w:pPr>
              <w:pStyle w:val="ESSPTableText"/>
            </w:pPr>
            <w:r>
              <w:t>centi (10</w:t>
            </w:r>
            <w:r>
              <w:rPr>
                <w:vertAlign w:val="superscript"/>
              </w:rPr>
              <w:t>-2</w:t>
            </w:r>
            <w:r>
              <w:t>)</w:t>
            </w:r>
          </w:p>
        </w:tc>
      </w:tr>
      <w:tr w:rsidR="00DB15E9" w14:paraId="00E4CA8C" w14:textId="77777777" w:rsidTr="00DB15E9">
        <w:trPr>
          <w:jc w:val="center"/>
        </w:trPr>
        <w:tc>
          <w:tcPr>
            <w:tcW w:w="1017" w:type="dxa"/>
          </w:tcPr>
          <w:p w14:paraId="05E40A37" w14:textId="77777777" w:rsidR="00DB15E9" w:rsidRDefault="0078312E">
            <w:pPr>
              <w:pStyle w:val="ESSPTableText"/>
            </w:pPr>
            <w:r>
              <w:t>m</w:t>
            </w:r>
          </w:p>
        </w:tc>
        <w:tc>
          <w:tcPr>
            <w:tcW w:w="1572" w:type="dxa"/>
          </w:tcPr>
          <w:p w14:paraId="1868A092" w14:textId="77777777" w:rsidR="00DB15E9" w:rsidRDefault="0078312E">
            <w:pPr>
              <w:pStyle w:val="ESSPTableText"/>
            </w:pPr>
            <w:r>
              <w:t>milli (10</w:t>
            </w:r>
            <w:r>
              <w:rPr>
                <w:vertAlign w:val="superscript"/>
              </w:rPr>
              <w:t>-3</w:t>
            </w:r>
            <w:r>
              <w:t>)</w:t>
            </w:r>
          </w:p>
        </w:tc>
      </w:tr>
      <w:tr w:rsidR="00DB15E9" w14:paraId="4A1C0941" w14:textId="77777777" w:rsidTr="00DB15E9">
        <w:trPr>
          <w:jc w:val="center"/>
        </w:trPr>
        <w:tc>
          <w:tcPr>
            <w:tcW w:w="1017" w:type="dxa"/>
          </w:tcPr>
          <w:p w14:paraId="643B179A" w14:textId="77777777" w:rsidR="00DB15E9" w:rsidRDefault="0078312E">
            <w:pPr>
              <w:pStyle w:val="ESSPTableText"/>
            </w:pPr>
            <w:r>
              <w:t>µ</w:t>
            </w:r>
          </w:p>
        </w:tc>
        <w:tc>
          <w:tcPr>
            <w:tcW w:w="1572" w:type="dxa"/>
          </w:tcPr>
          <w:p w14:paraId="4A05585F" w14:textId="77777777" w:rsidR="00DB15E9" w:rsidRDefault="0078312E">
            <w:pPr>
              <w:pStyle w:val="ESSPTableText"/>
            </w:pPr>
            <w:r>
              <w:t>micro (10</w:t>
            </w:r>
            <w:r>
              <w:rPr>
                <w:vertAlign w:val="superscript"/>
              </w:rPr>
              <w:t>-6</w:t>
            </w:r>
            <w:r>
              <w:t>)</w:t>
            </w:r>
          </w:p>
        </w:tc>
      </w:tr>
      <w:tr w:rsidR="00DB15E9" w14:paraId="5FD88591" w14:textId="77777777" w:rsidTr="00DB15E9">
        <w:trPr>
          <w:jc w:val="center"/>
        </w:trPr>
        <w:tc>
          <w:tcPr>
            <w:tcW w:w="1017" w:type="dxa"/>
          </w:tcPr>
          <w:p w14:paraId="309BED2A" w14:textId="77777777" w:rsidR="00DB15E9" w:rsidRDefault="0078312E">
            <w:pPr>
              <w:pStyle w:val="ESSPTableText"/>
            </w:pPr>
            <w:r>
              <w:t>n</w:t>
            </w:r>
          </w:p>
        </w:tc>
        <w:tc>
          <w:tcPr>
            <w:tcW w:w="1572" w:type="dxa"/>
          </w:tcPr>
          <w:p w14:paraId="68E622F8" w14:textId="77777777" w:rsidR="00DB15E9" w:rsidRDefault="0078312E">
            <w:pPr>
              <w:pStyle w:val="ESSPTableText"/>
            </w:pPr>
            <w:r>
              <w:t>nano (10</w:t>
            </w:r>
            <w:r>
              <w:rPr>
                <w:vertAlign w:val="superscript"/>
              </w:rPr>
              <w:t>-9</w:t>
            </w:r>
            <w:r>
              <w:t>)</w:t>
            </w:r>
          </w:p>
        </w:tc>
      </w:tr>
      <w:tr w:rsidR="00DB15E9" w14:paraId="2F788488" w14:textId="77777777" w:rsidTr="00DB15E9">
        <w:trPr>
          <w:jc w:val="center"/>
        </w:trPr>
        <w:tc>
          <w:tcPr>
            <w:tcW w:w="1017" w:type="dxa"/>
          </w:tcPr>
          <w:p w14:paraId="10890716" w14:textId="77777777" w:rsidR="00DB15E9" w:rsidRDefault="0078312E">
            <w:pPr>
              <w:pStyle w:val="ESSPTableText"/>
            </w:pPr>
            <w:r>
              <w:t>p</w:t>
            </w:r>
          </w:p>
        </w:tc>
        <w:tc>
          <w:tcPr>
            <w:tcW w:w="1572" w:type="dxa"/>
          </w:tcPr>
          <w:p w14:paraId="73E190AF" w14:textId="77777777" w:rsidR="00DB15E9" w:rsidRDefault="0078312E">
            <w:pPr>
              <w:pStyle w:val="ESSPTableText"/>
            </w:pPr>
            <w:r>
              <w:t>pico (10</w:t>
            </w:r>
            <w:r>
              <w:rPr>
                <w:vertAlign w:val="superscript"/>
              </w:rPr>
              <w:t>-12</w:t>
            </w:r>
            <w:r>
              <w:t>)</w:t>
            </w:r>
          </w:p>
        </w:tc>
      </w:tr>
    </w:tbl>
    <w:p w14:paraId="3D813218" w14:textId="77777777" w:rsidR="00DB15E9" w:rsidRDefault="0078312E">
      <w:pPr>
        <w:tabs>
          <w:tab w:val="clear" w:pos="1440"/>
          <w:tab w:val="clear" w:pos="4140"/>
          <w:tab w:val="clear" w:pos="7920"/>
        </w:tabs>
        <w:spacing w:after="0"/>
        <w:rPr>
          <w:rFonts w:ascii="Helvetica" w:hAnsi="Helvetica"/>
          <w:b/>
          <w:sz w:val="32"/>
          <w:szCs w:val="24"/>
        </w:rPr>
      </w:pPr>
      <w:r>
        <w:rPr>
          <w:rFonts w:ascii="Helvetica" w:hAnsi="Helvetica"/>
        </w:rPr>
        <w:br w:type="page"/>
      </w:r>
    </w:p>
    <w:p w14:paraId="206B90A5" w14:textId="77777777" w:rsidR="00DB15E9" w:rsidRDefault="0078312E">
      <w:pPr>
        <w:pStyle w:val="Heading7"/>
      </w:pPr>
      <w:bookmarkStart w:id="382" w:name="_Toc341258591"/>
      <w:bookmarkStart w:id="383" w:name="_Toc341258592"/>
      <w:bookmarkStart w:id="384" w:name="_Toc471971522"/>
      <w:bookmarkStart w:id="385" w:name="_Toc226776115"/>
      <w:bookmarkStart w:id="386" w:name="_Toc341258588"/>
      <w:bookmarkEnd w:id="368"/>
      <w:bookmarkEnd w:id="369"/>
      <w:bookmarkEnd w:id="382"/>
      <w:bookmarkEnd w:id="383"/>
      <w:r>
        <w:lastRenderedPageBreak/>
        <w:t>Lessons Learned</w:t>
      </w:r>
      <w:bookmarkEnd w:id="384"/>
    </w:p>
    <w:p w14:paraId="5998E02F" w14:textId="77777777" w:rsidR="00DB15E9" w:rsidRDefault="0078312E">
      <w:pPr>
        <w:pStyle w:val="AppendixOutlineLevel2"/>
        <w:numPr>
          <w:ilvl w:val="1"/>
          <w:numId w:val="2"/>
        </w:numPr>
      </w:pPr>
      <w:bookmarkStart w:id="387" w:name="_Toc471971523"/>
      <w:r>
        <w:t>Overview</w:t>
      </w:r>
      <w:bookmarkEnd w:id="387"/>
    </w:p>
    <w:p w14:paraId="58DD4789" w14:textId="77777777" w:rsidR="00DB15E9" w:rsidRDefault="0078312E">
      <w:pPr>
        <w:pStyle w:val="AppendixOutlineLevel3"/>
        <w:rPr>
          <w:rFonts w:asciiTheme="majorHAnsi" w:hAnsiTheme="majorHAnsi" w:cstheme="majorHAnsi"/>
        </w:rPr>
      </w:pPr>
      <w:bookmarkStart w:id="388" w:name="_Toc471971524"/>
      <w:r>
        <w:rPr>
          <w:rFonts w:asciiTheme="majorHAnsi" w:hAnsiTheme="majorHAnsi" w:cstheme="majorHAnsi"/>
        </w:rPr>
        <w:t>Introduction and Scope</w:t>
      </w:r>
      <w:bookmarkEnd w:id="388"/>
    </w:p>
    <w:p w14:paraId="3C0E3227" w14:textId="77777777" w:rsidR="00DB15E9" w:rsidRDefault="0078312E">
      <w:pPr>
        <w:pStyle w:val="ListParagraph"/>
        <w:rPr>
          <w:rFonts w:asciiTheme="majorHAnsi" w:hAnsiTheme="majorHAnsi" w:cstheme="majorHAnsi"/>
          <w:szCs w:val="24"/>
        </w:rPr>
      </w:pPr>
      <w:r>
        <w:rPr>
          <w:rFonts w:asciiTheme="majorHAnsi" w:hAnsiTheme="majorHAnsi" w:cstheme="majorHAnsi"/>
          <w:szCs w:val="24"/>
        </w:rPr>
        <w:t xml:space="preserve">When dealing with hosted payloads, it is unlikely that the hosting bus will be able to provide all the required interfaces or provide the performance necessary to satisfy the payload’s mission requirements. As a result, each hosted payload will need to coordinate solutions with the spacecraft and primary payload teams to ensure mission success. </w:t>
      </w:r>
    </w:p>
    <w:p w14:paraId="07A6E4C7" w14:textId="77777777" w:rsidR="00DB15E9" w:rsidRDefault="00DB15E9">
      <w:pPr>
        <w:pStyle w:val="ListParagraph"/>
        <w:rPr>
          <w:rFonts w:asciiTheme="majorHAnsi" w:hAnsiTheme="majorHAnsi" w:cstheme="majorHAnsi"/>
          <w:szCs w:val="24"/>
        </w:rPr>
      </w:pPr>
    </w:p>
    <w:p w14:paraId="28A35B45" w14:textId="77777777" w:rsidR="00DB15E9" w:rsidRDefault="0078312E">
      <w:pPr>
        <w:pStyle w:val="ListParagraph"/>
        <w:rPr>
          <w:rFonts w:asciiTheme="majorHAnsi" w:hAnsiTheme="majorHAnsi" w:cstheme="majorHAnsi"/>
          <w:szCs w:val="24"/>
        </w:rPr>
      </w:pPr>
      <w:r>
        <w:rPr>
          <w:rFonts w:asciiTheme="majorHAnsi" w:hAnsiTheme="majorHAnsi" w:cstheme="majorHAnsi"/>
          <w:szCs w:val="24"/>
        </w:rPr>
        <w:t>This appendix describes lessons learned from previous hosted payload studies and flight missions. Each section will provide an overview of the mission for context, and lessons learned related to the noted topics. The intent is to focus on the interface designs as called out in the HPIG, and not issues related to programmatic elements unless the issue caused a large cost or schedule delta.</w:t>
      </w:r>
    </w:p>
    <w:p w14:paraId="1DF129A7" w14:textId="77777777" w:rsidR="00DB15E9" w:rsidRDefault="00DB15E9">
      <w:pPr>
        <w:pStyle w:val="ListParagraph"/>
        <w:rPr>
          <w:rFonts w:asciiTheme="majorHAnsi" w:hAnsiTheme="majorHAnsi" w:cstheme="majorHAnsi"/>
          <w:szCs w:val="24"/>
        </w:rPr>
      </w:pPr>
    </w:p>
    <w:p w14:paraId="47D7BF5D" w14:textId="77777777" w:rsidR="00DB15E9" w:rsidRDefault="0078312E">
      <w:pPr>
        <w:pStyle w:val="ListParagraph"/>
        <w:rPr>
          <w:rFonts w:asciiTheme="majorHAnsi" w:hAnsiTheme="majorHAnsi" w:cstheme="majorHAnsi"/>
          <w:szCs w:val="24"/>
        </w:rPr>
      </w:pPr>
      <w:r>
        <w:rPr>
          <w:rFonts w:asciiTheme="majorHAnsi" w:hAnsiTheme="majorHAnsi" w:cstheme="majorHAnsi"/>
          <w:szCs w:val="24"/>
        </w:rPr>
        <w:t xml:space="preserve">The main body of the HPIG is meant to describe </w:t>
      </w:r>
      <w:r>
        <w:rPr>
          <w:rFonts w:asciiTheme="majorHAnsi" w:hAnsiTheme="majorHAnsi" w:cstheme="majorHAnsi"/>
          <w:i/>
          <w:szCs w:val="24"/>
        </w:rPr>
        <w:t>guidelines</w:t>
      </w:r>
      <w:r>
        <w:rPr>
          <w:rFonts w:asciiTheme="majorHAnsi" w:hAnsiTheme="majorHAnsi" w:cstheme="majorHAnsi"/>
          <w:szCs w:val="24"/>
        </w:rPr>
        <w:t xml:space="preserve"> rather than prescriptive requirements, and thus deviation from those guidelines is to be expected. This Appendix, however, highlights where deviations were negotiated between bus and instrument developers, or instances where deviations were outright problematic.</w:t>
      </w:r>
    </w:p>
    <w:p w14:paraId="3AD52881" w14:textId="77777777" w:rsidR="00DB15E9" w:rsidRDefault="0078312E">
      <w:pPr>
        <w:pStyle w:val="AppendixOutlineLevel2"/>
        <w:numPr>
          <w:ilvl w:val="1"/>
          <w:numId w:val="2"/>
        </w:numPr>
      </w:pPr>
      <w:bookmarkStart w:id="389" w:name="_Toc471971525"/>
      <w:r>
        <w:t>Lessons Learned</w:t>
      </w:r>
      <w:bookmarkEnd w:id="389"/>
    </w:p>
    <w:p w14:paraId="1E7FAEEA" w14:textId="77777777" w:rsidR="00DB15E9" w:rsidRDefault="0078312E">
      <w:pPr>
        <w:pStyle w:val="AppendixOutlineLevel3"/>
      </w:pPr>
      <w:bookmarkStart w:id="390" w:name="_Toc471971526"/>
      <w:r>
        <w:t>NASA Tropospheric Emissions: Monitoring of Pollution (TEMPO)</w:t>
      </w:r>
      <w:bookmarkEnd w:id="390"/>
      <w:r>
        <w:t xml:space="preserve"> </w:t>
      </w:r>
    </w:p>
    <w:p w14:paraId="2365F684" w14:textId="77777777" w:rsidR="00DB15E9" w:rsidRDefault="0078312E">
      <w:pPr>
        <w:pStyle w:val="BodyText"/>
      </w:pPr>
      <w:r>
        <w:t>The TEMPO instrument was competitively selected as part of NASA's Earth Venture Instrument program</w:t>
      </w:r>
      <w:r>
        <w:rPr>
          <w:color w:val="FF0000"/>
        </w:rPr>
        <w:t xml:space="preserve">. </w:t>
      </w:r>
      <w:r>
        <w:t>TEMPO will be the first hosted payload to ride on a commercial satellite in GEO synchronous orbit with a scheduled delivery date of September 2017. Several commercial communication satellites are expected to be suitable to host the TEMPO instrument and selection of the host spacecraft contractor is pending.</w:t>
      </w:r>
    </w:p>
    <w:p w14:paraId="19AEDF93" w14:textId="77777777" w:rsidR="00DB15E9" w:rsidRDefault="0078312E">
      <w:pPr>
        <w:pStyle w:val="BodyText"/>
      </w:pPr>
      <w:r>
        <w:t>TEMPO is a dispersive spectrometer that measures the pollution of North America hourly and at high spatial resolution. TEMPO spectroscopic measurements in the ultraviolet and visible wavelengths provide a tropospheric measurement suite that includes the key elements of tropospheric air pollution chemistry. Measurements are from geostationary orbit, to capture the inherent high variability in the diurnal cycle of emissions and chemistry. A small spatial footprint resolves pollution sources at a sub-urban scale. TEMPO quantifies and tracks the evolution of aerosol loading providing near-real-time air quality products that will be made available publicly to allow near-real time air quality management.</w:t>
      </w:r>
    </w:p>
    <w:p w14:paraId="64C3D807" w14:textId="77777777" w:rsidR="00DB15E9" w:rsidRDefault="0078312E">
      <w:pPr>
        <w:pStyle w:val="BodyText"/>
      </w:pPr>
      <w:r>
        <w:t>The TEMPO instrument is a NASA Designated Risk Class C payload (Med Priority, Med Risk, Less than 2 years Primary Mission Timeline).</w:t>
      </w:r>
    </w:p>
    <w:p w14:paraId="48436546" w14:textId="77777777" w:rsidR="00DB15E9" w:rsidRDefault="0078312E">
      <w:pPr>
        <w:pStyle w:val="AppendixOutlineLevel3"/>
        <w:keepNext/>
      </w:pPr>
      <w:bookmarkStart w:id="391" w:name="_Toc471971527"/>
      <w:r>
        <w:lastRenderedPageBreak/>
        <w:t>Summary of Lessons learned – Thermal Control / Thermal Interfaces</w:t>
      </w:r>
      <w:bookmarkEnd w:id="391"/>
    </w:p>
    <w:p w14:paraId="5C911B60" w14:textId="77777777" w:rsidR="00DB15E9" w:rsidRDefault="0078312E">
      <w:pPr>
        <w:pStyle w:val="BodyText"/>
      </w:pPr>
      <w:r>
        <w:t>During the instrument design phase ensure that a system level thermal model is developed that includes a representative host spacecraft bus in order to verify instrument thermal performance.</w:t>
      </w:r>
    </w:p>
    <w:p w14:paraId="45D40FC3" w14:textId="77777777" w:rsidR="00DB15E9" w:rsidRDefault="0078312E">
      <w:pPr>
        <w:pStyle w:val="BodyText"/>
      </w:pPr>
      <w:r>
        <w:t>The TEMPO project planned to utilize a heritage radiator design from a similar instrument to ensure the Focal Plane Subassembly (FPS) and structures were maintained at their optimal temperatures. The radiator rejects waste heat to space through a two-stage radiator. This radiator passively cools the FPA and uses trim heaters to control focal plane temperature. The other radiator stage rejects the remaining instrument waste heat. Maximum incident thermal backload on the instrument radiator was not expected to exceed 25 W/m</w:t>
      </w:r>
      <w:r>
        <w:rPr>
          <w:vertAlign w:val="superscript"/>
        </w:rPr>
        <w:t>2</w:t>
      </w:r>
      <w:r>
        <w:t xml:space="preserve"> at any time during mission. </w:t>
      </w:r>
    </w:p>
    <w:p w14:paraId="736D762A" w14:textId="77777777" w:rsidR="00DB15E9" w:rsidRDefault="0078312E">
      <w:pPr>
        <w:pStyle w:val="BodyText"/>
      </w:pPr>
      <w:r>
        <w:t>Thermal Desktop simulation of representative GEO Com Sats indicated that this class of spacecraft is not able to satisfy the 25 W/m</w:t>
      </w:r>
      <w:r>
        <w:rPr>
          <w:vertAlign w:val="superscript"/>
        </w:rPr>
        <w:t>2</w:t>
      </w:r>
      <w:r>
        <w:t xml:space="preserve"> backload requirement due to excessive radiation from the bus solar arrays as show in </w:t>
      </w:r>
      <w:r>
        <w:rPr>
          <w:rStyle w:val="ESSPBodyTextChar"/>
        </w:rPr>
        <w:fldChar w:fldCharType="begin"/>
      </w:r>
      <w:r>
        <w:rPr>
          <w:rStyle w:val="ESSPBodyTextChar"/>
        </w:rPr>
        <w:instrText xml:space="preserve"> REF _Ref471910615 \h  \* MERGEFORMAT </w:instrText>
      </w:r>
      <w:r>
        <w:rPr>
          <w:rStyle w:val="ESSPBodyTextChar"/>
        </w:rPr>
      </w:r>
      <w:r>
        <w:rPr>
          <w:rStyle w:val="ESSPBodyTextChar"/>
        </w:rPr>
        <w:fldChar w:fldCharType="separate"/>
      </w:r>
      <w:r>
        <w:rPr>
          <w:rStyle w:val="ESSPBodyTextChar"/>
        </w:rPr>
        <w:t>Figure A</w:t>
      </w:r>
      <w:r>
        <w:rPr>
          <w:rStyle w:val="ESSPBodyTextChar"/>
        </w:rPr>
        <w:noBreakHyphen/>
        <w:t>1</w:t>
      </w:r>
      <w:r>
        <w:rPr>
          <w:rStyle w:val="ESSPBodyTextChar"/>
        </w:rPr>
        <w:fldChar w:fldCharType="end"/>
      </w:r>
      <w:r>
        <w:rPr>
          <w:rStyle w:val="ESSPBodyTextChar"/>
        </w:rPr>
        <w:t xml:space="preserve"> and </w:t>
      </w:r>
      <w:r>
        <w:rPr>
          <w:rStyle w:val="ESSPBodyTextChar"/>
        </w:rPr>
        <w:fldChar w:fldCharType="begin"/>
      </w:r>
      <w:r>
        <w:rPr>
          <w:rStyle w:val="ESSPBodyTextChar"/>
        </w:rPr>
        <w:instrText xml:space="preserve"> REF _Ref471910594 \h  \* MERGEFORMAT </w:instrText>
      </w:r>
      <w:r>
        <w:rPr>
          <w:rStyle w:val="ESSPBodyTextChar"/>
        </w:rPr>
      </w:r>
      <w:r>
        <w:rPr>
          <w:rStyle w:val="ESSPBodyTextChar"/>
        </w:rPr>
        <w:fldChar w:fldCharType="separate"/>
      </w:r>
      <w:r>
        <w:rPr>
          <w:rStyle w:val="ESSPBodyTextChar"/>
        </w:rPr>
        <w:t>Table A</w:t>
      </w:r>
      <w:r>
        <w:rPr>
          <w:rStyle w:val="ESSPBodyTextChar"/>
        </w:rPr>
        <w:noBreakHyphen/>
        <w:t>1</w:t>
      </w:r>
      <w:r>
        <w:rPr>
          <w:rStyle w:val="ESSPBodyTextChar"/>
        </w:rPr>
        <w:fldChar w:fldCharType="end"/>
      </w:r>
      <w:r>
        <w:t xml:space="preserve">. </w:t>
      </w:r>
    </w:p>
    <w:p w14:paraId="495B30A7" w14:textId="77777777" w:rsidR="00DB15E9" w:rsidRDefault="0078312E">
      <w:pPr>
        <w:pStyle w:val="ESSPFigure"/>
        <w:keepNext w:val="0"/>
        <w:rPr>
          <w:rFonts w:cs="Arial"/>
        </w:rPr>
      </w:pPr>
      <w:r>
        <w:drawing>
          <wp:inline distT="0" distB="0" distL="0" distR="0" wp14:anchorId="0E8187F1" wp14:editId="1A48E279">
            <wp:extent cx="5257800" cy="2800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A665933" w14:textId="77777777" w:rsidR="00DB15E9" w:rsidRDefault="0078312E">
      <w:pPr>
        <w:pStyle w:val="Caption"/>
      </w:pPr>
      <w:bookmarkStart w:id="392" w:name="_Ref471910615"/>
      <w:bookmarkStart w:id="393" w:name="_Toc471911392"/>
      <w:r>
        <w:t>Figure A-</w:t>
      </w:r>
      <w:r w:rsidR="00BA5284">
        <w:fldChar w:fldCharType="begin"/>
      </w:r>
      <w:r w:rsidR="00BA5284">
        <w:instrText xml:space="preserve"> SEQ Figure_A- \* ARABIC </w:instrText>
      </w:r>
      <w:r w:rsidR="00BA5284">
        <w:fldChar w:fldCharType="separate"/>
      </w:r>
      <w:r>
        <w:rPr>
          <w:noProof/>
        </w:rPr>
        <w:t>1</w:t>
      </w:r>
      <w:r w:rsidR="00BA5284">
        <w:rPr>
          <w:noProof/>
        </w:rPr>
        <w:fldChar w:fldCharType="end"/>
      </w:r>
      <w:bookmarkEnd w:id="392"/>
      <w:r>
        <w:rPr>
          <w:rFonts w:ascii="Helvetica" w:hAnsi="Helvetica"/>
        </w:rPr>
        <w:t>:</w:t>
      </w:r>
      <w:r>
        <w:t xml:space="preserve"> Baseline S/C configurations cannot satisfy 25 W/m</w:t>
      </w:r>
      <w:r>
        <w:rPr>
          <w:vertAlign w:val="superscript"/>
        </w:rPr>
        <w:t>2</w:t>
      </w:r>
      <w:r>
        <w:t xml:space="preserve"> backload limit</w:t>
      </w:r>
      <w:bookmarkEnd w:id="393"/>
    </w:p>
    <w:p w14:paraId="5378CDE5" w14:textId="77777777" w:rsidR="00DB15E9" w:rsidRDefault="0078312E">
      <w:pPr>
        <w:pStyle w:val="ESSPTableCaption"/>
      </w:pPr>
      <w:bookmarkStart w:id="394" w:name="_Ref471910594"/>
      <w:bookmarkStart w:id="395" w:name="_Toc471971576"/>
      <w:r>
        <w:t xml:space="preserve">Table </w:t>
      </w:r>
      <w:r w:rsidR="00BA5284">
        <w:fldChar w:fldCharType="begin"/>
      </w:r>
      <w:r w:rsidR="00BA5284">
        <w:instrText xml:space="preserve"> STYLEREF 7 \s </w:instrText>
      </w:r>
      <w:r w:rsidR="00BA5284">
        <w:fldChar w:fldCharType="separate"/>
      </w:r>
      <w:r>
        <w:rPr>
          <w:noProof/>
        </w:rPr>
        <w:t>A</w:t>
      </w:r>
      <w:r w:rsidR="00BA5284">
        <w:rPr>
          <w:noProof/>
        </w:rPr>
        <w:fldChar w:fldCharType="end"/>
      </w:r>
      <w:r>
        <w:noBreakHyphen/>
      </w:r>
      <w:r w:rsidR="00BA5284">
        <w:fldChar w:fldCharType="begin"/>
      </w:r>
      <w:r w:rsidR="00BA5284">
        <w:instrText xml:space="preserve"> SEQ Table \* ARABIC \r 1 </w:instrText>
      </w:r>
      <w:r w:rsidR="00BA5284">
        <w:fldChar w:fldCharType="separate"/>
      </w:r>
      <w:r>
        <w:rPr>
          <w:noProof/>
        </w:rPr>
        <w:t>1</w:t>
      </w:r>
      <w:r w:rsidR="00BA5284">
        <w:rPr>
          <w:noProof/>
        </w:rPr>
        <w:fldChar w:fldCharType="end"/>
      </w:r>
      <w:bookmarkEnd w:id="394"/>
      <w:r>
        <w:t>: Representative Baseline S/C Configuration Thermal Backload</w:t>
      </w:r>
      <w:bookmarkEnd w:id="395"/>
      <w:r>
        <w:t xml:space="preserve"> </w:t>
      </w:r>
    </w:p>
    <w:p w14:paraId="5C7FB842" w14:textId="77777777" w:rsidR="00DB15E9" w:rsidRDefault="0078312E">
      <w:pPr>
        <w:pStyle w:val="ESSPTableText"/>
        <w:keepNext w:val="0"/>
      </w:pPr>
      <w:r>
        <w:rPr>
          <w:noProof/>
        </w:rPr>
        <w:drawing>
          <wp:inline distT="0" distB="0" distL="0" distR="0" wp14:anchorId="7924FF17" wp14:editId="1B5B0BF8">
            <wp:extent cx="3575262" cy="1485109"/>
            <wp:effectExtent l="0" t="0" r="6350" b="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64"/>
                    <a:stretch>
                      <a:fillRect/>
                    </a:stretch>
                  </pic:blipFill>
                  <pic:spPr>
                    <a:xfrm>
                      <a:off x="0" y="0"/>
                      <a:ext cx="3577072" cy="1485861"/>
                    </a:xfrm>
                    <a:prstGeom prst="rect">
                      <a:avLst/>
                    </a:prstGeom>
                  </pic:spPr>
                </pic:pic>
              </a:graphicData>
            </a:graphic>
          </wp:inline>
        </w:drawing>
      </w:r>
    </w:p>
    <w:p w14:paraId="2ACCB5A9" w14:textId="77777777" w:rsidR="00DB15E9" w:rsidRDefault="0078312E">
      <w:pPr>
        <w:pStyle w:val="BodyText"/>
        <w:keepNext/>
      </w:pPr>
      <w:r>
        <w:lastRenderedPageBreak/>
        <w:t xml:space="preserve">Rationale for Change – </w:t>
      </w:r>
    </w:p>
    <w:p w14:paraId="0A61EDA3" w14:textId="77777777" w:rsidR="00DB15E9" w:rsidRDefault="0078312E">
      <w:pPr>
        <w:pStyle w:val="BodyText"/>
      </w:pPr>
      <w:r>
        <w:t xml:space="preserve">Per the HPIG (section 3.9.6) The Instrument should maintain its own instrument temperature requirements. As a thermally isolated payload, the Instrument has to manage its own thermal properties without support from the Host Spacecraft. Section 3.9.5 addresses radiative heat transfer between the payload and spacecraft. </w:t>
      </w:r>
    </w:p>
    <w:p w14:paraId="69E64680" w14:textId="77777777" w:rsidR="00DB15E9" w:rsidRDefault="0078312E">
      <w:pPr>
        <w:pStyle w:val="BodyText"/>
      </w:pPr>
      <w:r>
        <w:t xml:space="preserve">It was not feasible to change the TEMPO instrument radiator design at this phase of the project so the instrument heat rejection responsibility was moved to the spacecraft side of the interface where the spacecraft bus will provide dedicated area on the S/C bus radiator to support the payloads temperature requirements. </w:t>
      </w:r>
    </w:p>
    <w:p w14:paraId="422B96DC" w14:textId="77777777" w:rsidR="00DB15E9" w:rsidRDefault="0078312E">
      <w:pPr>
        <w:pStyle w:val="AppendixOutlineLevel3"/>
      </w:pPr>
      <w:bookmarkStart w:id="396" w:name="_Toc471971528"/>
      <w:r>
        <w:t>TEMPO ERD</w:t>
      </w:r>
      <w:bookmarkEnd w:id="396"/>
    </w:p>
    <w:p w14:paraId="1D474127" w14:textId="77777777" w:rsidR="00DB15E9" w:rsidRDefault="0078312E">
      <w:pPr>
        <w:pStyle w:val="BodyText"/>
      </w:pPr>
      <w:r>
        <w:t xml:space="preserve">There are several instances where the TEMPO ERD specifies testing levels or environments that are not congruent with the HPIG. Most of these instances were minor discrepancies where the payload was not being tested to the levels mentioned in the HPIG, and were negotiated with the spacecraft bus manufacturers as necessary. These are noted with corresponding HPIG section in </w:t>
      </w:r>
      <w:r>
        <w:fldChar w:fldCharType="begin"/>
      </w:r>
      <w:r>
        <w:instrText xml:space="preserve"> REF _Ref471910576 \h </w:instrText>
      </w:r>
      <w:r>
        <w:fldChar w:fldCharType="separate"/>
      </w:r>
      <w:r>
        <w:t xml:space="preserve">Table </w:t>
      </w:r>
      <w:r>
        <w:rPr>
          <w:noProof/>
        </w:rPr>
        <w:t>A</w:t>
      </w:r>
      <w:r>
        <w:noBreakHyphen/>
      </w:r>
      <w:r>
        <w:rPr>
          <w:noProof/>
        </w:rPr>
        <w:t>2</w:t>
      </w:r>
      <w:r>
        <w:fldChar w:fldCharType="end"/>
      </w:r>
      <w:r>
        <w:t xml:space="preserve">. </w:t>
      </w:r>
    </w:p>
    <w:p w14:paraId="519B36BB" w14:textId="77777777" w:rsidR="00DB15E9" w:rsidRDefault="0078312E">
      <w:pPr>
        <w:pStyle w:val="ESSPTableCaption"/>
      </w:pPr>
      <w:bookmarkStart w:id="397" w:name="_Ref471910576"/>
      <w:bookmarkStart w:id="398" w:name="_Toc471971577"/>
      <w:r>
        <w:t xml:space="preserve">Table </w:t>
      </w:r>
      <w:r w:rsidR="00BA5284">
        <w:fldChar w:fldCharType="begin"/>
      </w:r>
      <w:r w:rsidR="00BA5284">
        <w:instrText xml:space="preserve"> STYLEREF 7 \s </w:instrText>
      </w:r>
      <w:r w:rsidR="00BA5284">
        <w:fldChar w:fldCharType="separate"/>
      </w:r>
      <w:r>
        <w:rPr>
          <w:noProof/>
        </w:rPr>
        <w:t>A</w:t>
      </w:r>
      <w:r w:rsidR="00BA5284">
        <w:rPr>
          <w:noProof/>
        </w:rPr>
        <w:fldChar w:fldCharType="end"/>
      </w:r>
      <w:r>
        <w:noBreakHyphen/>
      </w:r>
      <w:r w:rsidR="00BA5284">
        <w:fldChar w:fldCharType="begin"/>
      </w:r>
      <w:r w:rsidR="00BA5284">
        <w:instrText xml:space="preserve"> SEQ Table \* ARABIC \s 1 </w:instrText>
      </w:r>
      <w:r w:rsidR="00BA5284">
        <w:fldChar w:fldCharType="separate"/>
      </w:r>
      <w:r>
        <w:rPr>
          <w:noProof/>
        </w:rPr>
        <w:t>2</w:t>
      </w:r>
      <w:r w:rsidR="00BA5284">
        <w:rPr>
          <w:noProof/>
        </w:rPr>
        <w:fldChar w:fldCharType="end"/>
      </w:r>
      <w:bookmarkEnd w:id="397"/>
      <w:r>
        <w:t>: Negotiated TEMPO ERD Tests and Corresponding HPIG Sections</w:t>
      </w:r>
      <w:bookmarkEnd w:id="398"/>
    </w:p>
    <w:tbl>
      <w:tblPr>
        <w:tblStyle w:val="GridTable1Light-Accent11"/>
        <w:tblW w:w="0" w:type="auto"/>
        <w:jc w:val="center"/>
        <w:tblLook w:val="04A0" w:firstRow="1" w:lastRow="0" w:firstColumn="1" w:lastColumn="0" w:noHBand="0" w:noVBand="1"/>
      </w:tblPr>
      <w:tblGrid>
        <w:gridCol w:w="2271"/>
        <w:gridCol w:w="2240"/>
      </w:tblGrid>
      <w:tr w:rsidR="00DB15E9" w14:paraId="4DFFD4F1" w14:textId="77777777" w:rsidTr="00DB15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4A8F7B4D" w14:textId="77777777" w:rsidR="00DB15E9" w:rsidRDefault="0078312E">
            <w:pPr>
              <w:pStyle w:val="ESSPTableText"/>
            </w:pPr>
            <w:r>
              <w:t>Concern</w:t>
            </w:r>
          </w:p>
        </w:tc>
        <w:tc>
          <w:tcPr>
            <w:tcW w:w="2240" w:type="dxa"/>
          </w:tcPr>
          <w:p w14:paraId="7D7A0ADE" w14:textId="77777777" w:rsidR="00DB15E9" w:rsidRDefault="0078312E">
            <w:pPr>
              <w:pStyle w:val="ESSPTableText"/>
              <w:cnfStyle w:val="100000000000" w:firstRow="1" w:lastRow="0" w:firstColumn="0" w:lastColumn="0" w:oddVBand="0" w:evenVBand="0" w:oddHBand="0" w:evenHBand="0" w:firstRowFirstColumn="0" w:firstRowLastColumn="0" w:lastRowFirstColumn="0" w:lastRowLastColumn="0"/>
            </w:pPr>
            <w:r>
              <w:t>HPIG Section</w:t>
            </w:r>
          </w:p>
        </w:tc>
      </w:tr>
      <w:tr w:rsidR="00DB15E9" w14:paraId="31F62D66" w14:textId="77777777" w:rsidTr="00DB15E9">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6A9909C6" w14:textId="77777777" w:rsidR="00DB15E9" w:rsidRDefault="0078312E">
            <w:pPr>
              <w:pStyle w:val="ESSPTableText"/>
            </w:pPr>
            <w:r>
              <w:t>Sine Vibration</w:t>
            </w:r>
          </w:p>
        </w:tc>
        <w:tc>
          <w:tcPr>
            <w:tcW w:w="2240" w:type="dxa"/>
            <w:shd w:val="clear" w:color="auto" w:fill="FFFFFF" w:themeFill="background1"/>
          </w:tcPr>
          <w:p w14:paraId="0C18E42C" w14:textId="77777777" w:rsidR="00DB15E9" w:rsidRDefault="0078312E">
            <w:pPr>
              <w:pStyle w:val="ESSPTableText"/>
              <w:cnfStyle w:val="000000000000" w:firstRow="0" w:lastRow="0" w:firstColumn="0" w:lastColumn="0" w:oddVBand="0" w:evenVBand="0" w:oddHBand="0" w:evenHBand="0" w:firstRowFirstColumn="0" w:firstRowLastColumn="0" w:lastRowFirstColumn="0" w:lastRowLastColumn="0"/>
            </w:pPr>
            <w:r>
              <w:t>3.12.4.5</w:t>
            </w:r>
          </w:p>
        </w:tc>
      </w:tr>
      <w:tr w:rsidR="00DB15E9" w14:paraId="74444E9E" w14:textId="77777777" w:rsidTr="00DB15E9">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4C386B7C" w14:textId="77777777" w:rsidR="00DB15E9" w:rsidRDefault="0078312E">
            <w:pPr>
              <w:pStyle w:val="ESSPTableText"/>
            </w:pPr>
            <w:r>
              <w:t>Acoustics</w:t>
            </w:r>
          </w:p>
        </w:tc>
        <w:tc>
          <w:tcPr>
            <w:tcW w:w="2240" w:type="dxa"/>
            <w:shd w:val="clear" w:color="auto" w:fill="FFFFFF" w:themeFill="background1"/>
          </w:tcPr>
          <w:p w14:paraId="2B804E30" w14:textId="77777777" w:rsidR="00DB15E9" w:rsidRDefault="0078312E">
            <w:pPr>
              <w:pStyle w:val="ESSPTableText"/>
              <w:cnfStyle w:val="000000000000" w:firstRow="0" w:lastRow="0" w:firstColumn="0" w:lastColumn="0" w:oddVBand="0" w:evenVBand="0" w:oddHBand="0" w:evenHBand="0" w:firstRowFirstColumn="0" w:firstRowLastColumn="0" w:lastRowFirstColumn="0" w:lastRowLastColumn="0"/>
            </w:pPr>
            <w:r>
              <w:t>3.12.4.7</w:t>
            </w:r>
          </w:p>
        </w:tc>
      </w:tr>
      <w:tr w:rsidR="00DB15E9" w14:paraId="53D07771" w14:textId="77777777" w:rsidTr="00DB15E9">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7B88F2AA" w14:textId="77777777" w:rsidR="00DB15E9" w:rsidRDefault="0078312E">
            <w:pPr>
              <w:pStyle w:val="ESSPTableText"/>
            </w:pPr>
            <w:r>
              <w:t>Shock</w:t>
            </w:r>
          </w:p>
        </w:tc>
        <w:tc>
          <w:tcPr>
            <w:tcW w:w="2240" w:type="dxa"/>
            <w:shd w:val="clear" w:color="auto" w:fill="FFFFFF" w:themeFill="background1"/>
          </w:tcPr>
          <w:p w14:paraId="4FD259EB" w14:textId="77777777" w:rsidR="00DB15E9" w:rsidRDefault="0078312E">
            <w:pPr>
              <w:pStyle w:val="ESSPTableText"/>
              <w:cnfStyle w:val="000000000000" w:firstRow="0" w:lastRow="0" w:firstColumn="0" w:lastColumn="0" w:oddVBand="0" w:evenVBand="0" w:oddHBand="0" w:evenHBand="0" w:firstRowFirstColumn="0" w:firstRowLastColumn="0" w:lastRowFirstColumn="0" w:lastRowLastColumn="0"/>
            </w:pPr>
            <w:r>
              <w:t>3.12.4.8</w:t>
            </w:r>
          </w:p>
        </w:tc>
      </w:tr>
      <w:tr w:rsidR="00DB15E9" w14:paraId="062B795F" w14:textId="77777777" w:rsidTr="00DB15E9">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7F83198A" w14:textId="77777777" w:rsidR="00DB15E9" w:rsidRDefault="0078312E">
            <w:pPr>
              <w:pStyle w:val="ESSPTableText"/>
            </w:pPr>
            <w:r>
              <w:t>Launch Pressure Profile</w:t>
            </w:r>
          </w:p>
        </w:tc>
        <w:tc>
          <w:tcPr>
            <w:tcW w:w="2240" w:type="dxa"/>
            <w:shd w:val="clear" w:color="auto" w:fill="FFFFFF" w:themeFill="background1"/>
          </w:tcPr>
          <w:p w14:paraId="6377CE1F" w14:textId="77777777" w:rsidR="00DB15E9" w:rsidRDefault="0078312E">
            <w:pPr>
              <w:pStyle w:val="ESSPTableText"/>
              <w:cnfStyle w:val="000000000000" w:firstRow="0" w:lastRow="0" w:firstColumn="0" w:lastColumn="0" w:oddVBand="0" w:evenVBand="0" w:oddHBand="0" w:evenHBand="0" w:firstRowFirstColumn="0" w:firstRowLastColumn="0" w:lastRowFirstColumn="0" w:lastRowLastColumn="0"/>
            </w:pPr>
            <w:r>
              <w:t>3.12.4.3</w:t>
            </w:r>
          </w:p>
        </w:tc>
      </w:tr>
      <w:tr w:rsidR="00DB15E9" w14:paraId="6837D73F" w14:textId="77777777" w:rsidTr="00DB15E9">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4CDBD986" w14:textId="77777777" w:rsidR="00DB15E9" w:rsidRDefault="0078312E">
            <w:pPr>
              <w:pStyle w:val="ESSPTableText"/>
            </w:pPr>
            <w:r>
              <w:t>Meteoroid and Space Debris</w:t>
            </w:r>
          </w:p>
        </w:tc>
        <w:tc>
          <w:tcPr>
            <w:tcW w:w="2240" w:type="dxa"/>
            <w:shd w:val="clear" w:color="auto" w:fill="FFFFFF" w:themeFill="background1"/>
          </w:tcPr>
          <w:p w14:paraId="2934C35F" w14:textId="77777777" w:rsidR="00DB15E9" w:rsidRDefault="0078312E">
            <w:pPr>
              <w:pStyle w:val="ESSPTableText"/>
              <w:cnfStyle w:val="000000000000" w:firstRow="0" w:lastRow="0" w:firstColumn="0" w:lastColumn="0" w:oddVBand="0" w:evenVBand="0" w:oddHBand="0" w:evenHBand="0" w:firstRowFirstColumn="0" w:firstRowLastColumn="0" w:lastRowFirstColumn="0" w:lastRowLastColumn="0"/>
            </w:pPr>
            <w:r>
              <w:t>3.12.6.3</w:t>
            </w:r>
          </w:p>
        </w:tc>
      </w:tr>
    </w:tbl>
    <w:p w14:paraId="41496D85" w14:textId="77777777" w:rsidR="00DB15E9" w:rsidRDefault="0078312E">
      <w:pPr>
        <w:pStyle w:val="BodyText"/>
        <w:rPr>
          <w:rStyle w:val="ESSPBodyTextChar"/>
        </w:rPr>
      </w:pPr>
      <w:r>
        <w:t xml:space="preserve">In other instances, more detailed discussions between the instrument provider and bus manufacturers were had to ensure the Do No Harm specification is met. For instance, the Interface Control Electronics (ICE) are sensitive to vibration, and the instrument developers requested that they be tested at a lower level than the spacecraft provider designated to be the appropriate level for the environment. The appropriate random vibration testing level is captured in </w:t>
      </w:r>
      <w:r>
        <w:rPr>
          <w:rStyle w:val="ESSPBodyTextChar"/>
        </w:rPr>
        <w:fldChar w:fldCharType="begin"/>
      </w:r>
      <w:r>
        <w:rPr>
          <w:rStyle w:val="ESSPBodyTextChar"/>
        </w:rPr>
        <w:instrText xml:space="preserve"> REF _Ref471910541 \h  \* MERGEFORMAT </w:instrText>
      </w:r>
      <w:r>
        <w:rPr>
          <w:rStyle w:val="ESSPBodyTextChar"/>
        </w:rPr>
      </w:r>
      <w:r>
        <w:rPr>
          <w:rStyle w:val="ESSPBodyTextChar"/>
        </w:rPr>
        <w:fldChar w:fldCharType="separate"/>
      </w:r>
      <w:r>
        <w:rPr>
          <w:rStyle w:val="ESSPBodyTextChar"/>
        </w:rPr>
        <w:t>Figure A</w:t>
      </w:r>
      <w:r>
        <w:rPr>
          <w:rStyle w:val="ESSPBodyTextChar"/>
        </w:rPr>
        <w:noBreakHyphen/>
        <w:t>2</w:t>
      </w:r>
      <w:r>
        <w:rPr>
          <w:rStyle w:val="ESSPBodyTextChar"/>
        </w:rPr>
        <w:fldChar w:fldCharType="end"/>
      </w:r>
      <w:r>
        <w:rPr>
          <w:rStyle w:val="ESSPBodyTextChar"/>
        </w:rPr>
        <w:t>.</w:t>
      </w:r>
    </w:p>
    <w:p w14:paraId="38FB54CB" w14:textId="77777777" w:rsidR="00DB15E9" w:rsidRDefault="0078312E">
      <w:pPr>
        <w:pStyle w:val="ESSPFigure"/>
      </w:pPr>
      <w:r>
        <w:lastRenderedPageBreak/>
        <w:drawing>
          <wp:inline distT="0" distB="0" distL="0" distR="0" wp14:anchorId="0EE6F141" wp14:editId="4CC1FB04">
            <wp:extent cx="4572000" cy="27432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F0C28B" w14:textId="77777777" w:rsidR="00DB15E9" w:rsidRDefault="0078312E">
      <w:pPr>
        <w:pStyle w:val="Caption"/>
        <w:rPr>
          <w:rStyle w:val="ESSPFigureCaptionChar"/>
        </w:rPr>
      </w:pPr>
      <w:bookmarkStart w:id="399" w:name="_Ref471910541"/>
      <w:bookmarkStart w:id="400" w:name="_Toc471911393"/>
      <w:r>
        <w:t>Figure A-</w:t>
      </w:r>
      <w:r w:rsidR="00BA5284">
        <w:fldChar w:fldCharType="begin"/>
      </w:r>
      <w:r w:rsidR="00BA5284">
        <w:instrText xml:space="preserve"> SEQ Figure_A- \* ARABIC </w:instrText>
      </w:r>
      <w:r w:rsidR="00BA5284">
        <w:fldChar w:fldCharType="separate"/>
      </w:r>
      <w:r>
        <w:rPr>
          <w:noProof/>
        </w:rPr>
        <w:t>2</w:t>
      </w:r>
      <w:r w:rsidR="00BA5284">
        <w:rPr>
          <w:noProof/>
        </w:rPr>
        <w:fldChar w:fldCharType="end"/>
      </w:r>
      <w:bookmarkEnd w:id="399"/>
      <w:r>
        <w:t>: Random Vibration Testing Level</w:t>
      </w:r>
      <w:bookmarkEnd w:id="400"/>
    </w:p>
    <w:p w14:paraId="5B641D52" w14:textId="77777777" w:rsidR="00DB15E9" w:rsidRDefault="0078312E">
      <w:pPr>
        <w:pStyle w:val="AppendixOutlineLevel3"/>
      </w:pPr>
      <w:bookmarkStart w:id="401" w:name="_Toc471971529"/>
      <w:r>
        <w:t>Pointing Requirements</w:t>
      </w:r>
      <w:bookmarkEnd w:id="401"/>
    </w:p>
    <w:p w14:paraId="2AC5AFED" w14:textId="77777777" w:rsidR="00DB15E9" w:rsidRDefault="0078312E">
      <w:pPr>
        <w:pStyle w:val="ListParagraph"/>
      </w:pPr>
      <w:r>
        <w:rPr>
          <w:rFonts w:asciiTheme="majorHAnsi" w:hAnsiTheme="majorHAnsi" w:cstheme="majorHAnsi"/>
        </w:rPr>
        <w:t xml:space="preserve">The TEMPO instrument operates with strict pointing requirements to ensure accurate measurements. After selection, it was apparent that the spacecraft gyros did not meet the pointing needs of the TEMPO payload, and additional rework was needed. </w:t>
      </w:r>
    </w:p>
    <w:p w14:paraId="7CFAE877" w14:textId="77777777" w:rsidR="00DB15E9" w:rsidRDefault="0078312E">
      <w:pPr>
        <w:pStyle w:val="Heading7"/>
      </w:pPr>
      <w:bookmarkStart w:id="402" w:name="_Toc471971530"/>
      <w:r>
        <w:lastRenderedPageBreak/>
        <w:t>Hosted Payload Concept of Operations</w:t>
      </w:r>
      <w:bookmarkEnd w:id="385"/>
      <w:bookmarkEnd w:id="402"/>
    </w:p>
    <w:p w14:paraId="40B52779" w14:textId="77777777" w:rsidR="00DB15E9" w:rsidRDefault="0078312E">
      <w:pPr>
        <w:pStyle w:val="AppendixOutlineLevel2"/>
        <w:numPr>
          <w:ilvl w:val="1"/>
          <w:numId w:val="2"/>
        </w:numPr>
      </w:pPr>
      <w:bookmarkStart w:id="403" w:name="_Toc471971531"/>
      <w:r>
        <w:t>Introduction</w:t>
      </w:r>
      <w:bookmarkEnd w:id="386"/>
      <w:bookmarkEnd w:id="403"/>
    </w:p>
    <w:p w14:paraId="00B82BBF" w14:textId="77777777" w:rsidR="00DB15E9" w:rsidRDefault="0078312E">
      <w:pPr>
        <w:pStyle w:val="ESSPBodyText"/>
      </w:pPr>
      <w:r>
        <w:t xml:space="preserve">This CII Hosted Payloads Concept of Operations (CONOPS) provides a prospective Instrument Developer with technical recommendations to help them design an Instrument that may be flown as a hosted payload either in LEO or GEO. This document describes the systems, operational concepts, and teams required to develop, implement, and conduct a hosted payload mission. More specifically, this CONOPS document primarily supports stakeholders involved in NASA Science Mission Directorate (SMD) Earth Science Division’s investigations. What follows is a CONOPS applicable to those ESD payloads to be hosted as a secondary payload, including those developed under the EVI solicitation. </w:t>
      </w:r>
    </w:p>
    <w:p w14:paraId="3472E93F" w14:textId="77777777" w:rsidR="00DB15E9" w:rsidRDefault="0078312E">
      <w:pPr>
        <w:pStyle w:val="AppendixOutlineLevel3"/>
        <w:numPr>
          <w:ilvl w:val="2"/>
          <w:numId w:val="2"/>
        </w:numPr>
      </w:pPr>
      <w:bookmarkStart w:id="404" w:name="_Toc341258589"/>
      <w:bookmarkStart w:id="405" w:name="_Toc471971532"/>
      <w:r>
        <w:t>Goals and Objectives</w:t>
      </w:r>
      <w:bookmarkEnd w:id="404"/>
      <w:bookmarkEnd w:id="405"/>
    </w:p>
    <w:p w14:paraId="376AEBD5" w14:textId="77777777" w:rsidR="00DB15E9" w:rsidRDefault="0078312E">
      <w:pPr>
        <w:pStyle w:val="ESSPBodyText"/>
      </w:pPr>
      <w:r>
        <w:t>The CONOPS documents the functionality of a hosted payload mission and defines system segments, associated functions, and operational descriptions. The CONOPS represents the operational approaches used to develop mission requirements and provides the operational framework for execution of the major components of a hosted payload mission.</w:t>
      </w:r>
    </w:p>
    <w:p w14:paraId="1BE61679" w14:textId="77777777" w:rsidR="00DB15E9" w:rsidRDefault="0078312E">
      <w:pPr>
        <w:pStyle w:val="ESSPBodyText"/>
      </w:pPr>
      <w:r>
        <w:t>The CONOPS is not a requirements document, but rather, it provides a functional view of a hosted payload mission based upon high-level project guidance. All functions, scenarios, figures, timelines, and flow charts are conceptual only.</w:t>
      </w:r>
    </w:p>
    <w:p w14:paraId="64F8D1B5" w14:textId="77777777" w:rsidR="00DB15E9" w:rsidRDefault="0078312E">
      <w:pPr>
        <w:pStyle w:val="AppendixOutlineLevel3"/>
        <w:numPr>
          <w:ilvl w:val="2"/>
          <w:numId w:val="2"/>
        </w:numPr>
      </w:pPr>
      <w:bookmarkStart w:id="406" w:name="_Toc341258590"/>
      <w:bookmarkStart w:id="407" w:name="_Toc471971533"/>
      <w:r>
        <w:t>Document Scope</w:t>
      </w:r>
      <w:bookmarkEnd w:id="406"/>
      <w:bookmarkEnd w:id="407"/>
    </w:p>
    <w:p w14:paraId="3891FDF9" w14:textId="77777777" w:rsidR="00DB15E9" w:rsidRDefault="0078312E">
      <w:pPr>
        <w:pStyle w:val="ESSPBodyText"/>
      </w:pPr>
      <w:r>
        <w:t>The purpose of this CONOPS document is to give an overview of LEO and GEO satellite operations, with an emphasis on how such operations will impact hosted payloads.</w:t>
      </w:r>
    </w:p>
    <w:p w14:paraId="53C8FE8A" w14:textId="77777777" w:rsidR="00DB15E9" w:rsidRDefault="0078312E">
      <w:pPr>
        <w:pStyle w:val="ESSPBodyText"/>
      </w:pPr>
      <w:r>
        <w:t>This CONOPS is not a requirements document and will not describe the Instrument Concept of Operation in detail or what is required of the Instrument to operate while hosted on LEO/GEO satellites.</w:t>
      </w:r>
    </w:p>
    <w:p w14:paraId="60D9E01A" w14:textId="77777777" w:rsidR="00DB15E9" w:rsidRDefault="0078312E">
      <w:pPr>
        <w:pStyle w:val="AppendixOutlineLevel2"/>
        <w:numPr>
          <w:ilvl w:val="1"/>
          <w:numId w:val="2"/>
        </w:numPr>
      </w:pPr>
      <w:bookmarkStart w:id="408" w:name="_Toc212367676"/>
      <w:bookmarkStart w:id="409" w:name="_Toc341258593"/>
      <w:bookmarkStart w:id="410" w:name="_Toc471971534"/>
      <w:r>
        <w:t>C</w:t>
      </w:r>
      <w:bookmarkEnd w:id="408"/>
      <w:r>
        <w:t>ommon Instrument Interface Philosophy</w:t>
      </w:r>
      <w:bookmarkEnd w:id="409"/>
      <w:bookmarkEnd w:id="410"/>
    </w:p>
    <w:p w14:paraId="21773BD6" w14:textId="77777777" w:rsidR="00DB15E9" w:rsidRDefault="0078312E">
      <w:pPr>
        <w:pStyle w:val="ESSPBodyText"/>
      </w:pPr>
      <w:r>
        <w:t>This CONOPS supports the “Do No Harm” concept as described in section 3.2.</w:t>
      </w:r>
    </w:p>
    <w:p w14:paraId="763F33EA" w14:textId="77777777" w:rsidR="00DB15E9" w:rsidRDefault="0078312E">
      <w:pPr>
        <w:pStyle w:val="AppendixOutlineLevel2"/>
        <w:numPr>
          <w:ilvl w:val="1"/>
          <w:numId w:val="2"/>
        </w:numPr>
      </w:pPr>
      <w:bookmarkStart w:id="411" w:name="_Toc341258594"/>
      <w:bookmarkStart w:id="412" w:name="_Toc471971535"/>
      <w:r>
        <w:t>LEO/GEO Satellite concept of operations Summary</w:t>
      </w:r>
      <w:bookmarkEnd w:id="411"/>
      <w:bookmarkEnd w:id="412"/>
    </w:p>
    <w:p w14:paraId="71B79A88" w14:textId="77777777" w:rsidR="00DB15E9" w:rsidRDefault="0078312E">
      <w:pPr>
        <w:pStyle w:val="ESSPBodyText"/>
      </w:pPr>
      <w:r>
        <w:t>This section is intended to be a summary of the Concept of Operations for both Low Earth Orbit Satellites [LEO] and Commercial Geostationary Communications Satellites [GEO], to give the Instrument provider an idea of what to expect when interfaced to the Host Spacecraft.</w:t>
      </w:r>
    </w:p>
    <w:p w14:paraId="2BB03D6E" w14:textId="77777777" w:rsidR="00DB15E9" w:rsidRDefault="0078312E">
      <w:pPr>
        <w:pStyle w:val="AppendixOutlineLevel3"/>
        <w:keepNext/>
        <w:numPr>
          <w:ilvl w:val="2"/>
          <w:numId w:val="2"/>
        </w:numPr>
      </w:pPr>
      <w:bookmarkStart w:id="413" w:name="_Toc341258595"/>
      <w:bookmarkStart w:id="414" w:name="_Toc471971536"/>
      <w:r>
        <w:t>General Information</w:t>
      </w:r>
      <w:bookmarkEnd w:id="413"/>
      <w:bookmarkEnd w:id="414"/>
    </w:p>
    <w:p w14:paraId="23317FB4" w14:textId="77777777" w:rsidR="00DB15E9" w:rsidRDefault="0078312E">
      <w:pPr>
        <w:pStyle w:val="ESSPBodyText"/>
      </w:pPr>
      <w:r>
        <w:t xml:space="preserve">[LEO] Nominal Orbit: The Host Spacecraft will operate in a Low Earth Orit with an altitude between 350 and 2000 kilometers with eccentricity less than 1 and inclination between zero and 180°, inclusive (see section </w:t>
      </w:r>
      <w:r>
        <w:fldChar w:fldCharType="begin"/>
      </w:r>
      <w:r>
        <w:instrText xml:space="preserve"> REF _Ref453070852 \r \h </w:instrText>
      </w:r>
      <w:r>
        <w:fldChar w:fldCharType="separate"/>
      </w:r>
      <w:r>
        <w:t>2.1</w:t>
      </w:r>
      <w:r>
        <w:fldChar w:fldCharType="end"/>
      </w:r>
      <w:r>
        <w:t>). LEO orbital periods are approximately 90 minutes.</w:t>
      </w:r>
    </w:p>
    <w:p w14:paraId="3CFCCE98" w14:textId="77777777" w:rsidR="00DB15E9" w:rsidRDefault="0078312E">
      <w:pPr>
        <w:pStyle w:val="ESSPBodyText"/>
      </w:pPr>
      <w:r>
        <w:lastRenderedPageBreak/>
        <w:t>[LEO] The frequencies used for communicating with LEO spacecraft vary, but S-Band (2–4 GHz) with data rates up to 2 Mbps are typical. Since communication with ground stations requires line-of-site, command uplink and data downlink are only possible periodically and vary considerably depending on the total number of prime and backup stations and their locations on Earth. Communication pass durations are between 10–15 minutes for a minimum site angle of 10°.</w:t>
      </w:r>
    </w:p>
    <w:p w14:paraId="498E6B85" w14:textId="77777777" w:rsidR="00DB15E9" w:rsidRDefault="0078312E">
      <w:pPr>
        <w:pStyle w:val="AppendixOutlineLevel3"/>
        <w:numPr>
          <w:ilvl w:val="2"/>
          <w:numId w:val="2"/>
        </w:numPr>
      </w:pPr>
      <w:bookmarkStart w:id="415" w:name="_Toc341258596"/>
      <w:bookmarkStart w:id="416" w:name="_Toc471971537"/>
      <w:r>
        <w:t>Phases of Operation</w:t>
      </w:r>
      <w:bookmarkEnd w:id="415"/>
      <w:bookmarkEnd w:id="416"/>
    </w:p>
    <w:p w14:paraId="77BFA009" w14:textId="77777777" w:rsidR="00DB15E9" w:rsidRDefault="0078312E">
      <w:pPr>
        <w:pStyle w:val="ESSPBodyText"/>
      </w:pPr>
      <w:bookmarkStart w:id="417" w:name="_Ref215299189"/>
      <w:r>
        <w:t xml:space="preserve">The Host Spacecraft will have numerous phases of operation, which can be described as launch &amp; ascent, [GEO] Geostationary Transfer Orbit (GTO), checkout, normal operations, and safehold. The Instrument will have similar phases that occur in parallel with the Host Spacecraft. A summary of the transition from launch to normal operations is as shown in </w:t>
      </w:r>
      <w:r>
        <w:fldChar w:fldCharType="begin"/>
      </w:r>
      <w:r>
        <w:instrText xml:space="preserve"> REF _Ref471910452 \h  \* MERGEFORMAT </w:instrText>
      </w:r>
      <w:r>
        <w:fldChar w:fldCharType="separate"/>
      </w:r>
      <w:r>
        <w:t>Figure B</w:t>
      </w:r>
      <w:r>
        <w:noBreakHyphen/>
        <w:t>1</w:t>
      </w:r>
      <w:r>
        <w:fldChar w:fldCharType="end"/>
      </w:r>
      <w:r>
        <w:t>.</w:t>
      </w:r>
    </w:p>
    <w:p w14:paraId="0D6B677E" w14:textId="77777777" w:rsidR="00DB15E9" w:rsidRDefault="0078312E">
      <w:pPr>
        <w:jc w:val="center"/>
        <w:rPr>
          <w:rFonts w:ascii="Helvetica" w:hAnsi="Helvetica"/>
        </w:rPr>
      </w:pPr>
      <w:r>
        <w:rPr>
          <w:rFonts w:ascii="Helvetica" w:hAnsi="Helvetica"/>
          <w:noProof/>
        </w:rPr>
        <w:drawing>
          <wp:inline distT="0" distB="0" distL="0" distR="0" wp14:anchorId="48C7AF54" wp14:editId="2F9E126B">
            <wp:extent cx="5486400" cy="2381250"/>
            <wp:effectExtent l="25400" t="0" r="0" b="0"/>
            <wp:docPr id="143" name="P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486400" cy="2381250"/>
                    </a:xfrm>
                    <a:prstGeom prst="rect">
                      <a:avLst/>
                    </a:prstGeom>
                    <a:noFill/>
                    <a:ln w="9525">
                      <a:noFill/>
                      <a:miter lim="800000"/>
                      <a:headEnd/>
                      <a:tailEnd/>
                    </a:ln>
                  </pic:spPr>
                </pic:pic>
              </a:graphicData>
            </a:graphic>
          </wp:inline>
        </w:drawing>
      </w:r>
    </w:p>
    <w:p w14:paraId="6C6E07BD" w14:textId="77777777" w:rsidR="00DB15E9" w:rsidRDefault="0078312E">
      <w:pPr>
        <w:pStyle w:val="Caption"/>
        <w:rPr>
          <w:rFonts w:ascii="Helvetica" w:hAnsi="Helvetica"/>
        </w:rPr>
      </w:pPr>
      <w:bookmarkStart w:id="418" w:name="_Ref471910452"/>
      <w:bookmarkStart w:id="419" w:name="_Toc214619391"/>
      <w:bookmarkStart w:id="420" w:name="_Toc453061559"/>
      <w:bookmarkStart w:id="421" w:name="_Toc471911502"/>
      <w:bookmarkEnd w:id="417"/>
      <w:r>
        <w:t>Figure B-</w:t>
      </w:r>
      <w:r w:rsidR="00BA5284">
        <w:fldChar w:fldCharType="begin"/>
      </w:r>
      <w:r w:rsidR="00BA5284">
        <w:instrText xml:space="preserve"> SEQ Figure_B- \* ARABIC </w:instrText>
      </w:r>
      <w:r w:rsidR="00BA5284">
        <w:fldChar w:fldCharType="separate"/>
      </w:r>
      <w:r>
        <w:rPr>
          <w:noProof/>
        </w:rPr>
        <w:t>1</w:t>
      </w:r>
      <w:r w:rsidR="00BA5284">
        <w:rPr>
          <w:noProof/>
        </w:rPr>
        <w:fldChar w:fldCharType="end"/>
      </w:r>
      <w:bookmarkEnd w:id="418"/>
      <w:r>
        <w:rPr>
          <w:rFonts w:ascii="Helvetica" w:hAnsi="Helvetica"/>
        </w:rPr>
        <w:t>: Summary of Transition to Normal Operations</w:t>
      </w:r>
      <w:bookmarkEnd w:id="419"/>
      <w:bookmarkEnd w:id="420"/>
      <w:bookmarkEnd w:id="421"/>
    </w:p>
    <w:p w14:paraId="542BDBFD" w14:textId="77777777" w:rsidR="00DB15E9" w:rsidRDefault="0078312E">
      <w:pPr>
        <w:pStyle w:val="ESSPBodyText"/>
      </w:pPr>
      <w:r>
        <w:t>Launch and Ascent</w:t>
      </w:r>
    </w:p>
    <w:p w14:paraId="31A35C57" w14:textId="77777777" w:rsidR="00DB15E9" w:rsidRDefault="0078312E">
      <w:pPr>
        <w:pStyle w:val="ESSPBodyText"/>
      </w:pPr>
      <w:bookmarkStart w:id="422" w:name="_Ref215299216"/>
      <w:r>
        <w:t xml:space="preserve">During this phase, the Host Spacecraft is operating on battery power and is in a Standby power mode, minimal hardware is powered on, </w:t>
      </w:r>
      <w:r>
        <w:rPr>
          <w:i/>
        </w:rPr>
        <w:t>e.g.</w:t>
      </w:r>
      <w:r>
        <w:t xml:space="preserve">, computer, heaters, RF receivers, etc. </w:t>
      </w:r>
    </w:p>
    <w:p w14:paraId="631A50DE" w14:textId="77777777" w:rsidR="00DB15E9" w:rsidRDefault="0078312E">
      <w:pPr>
        <w:pStyle w:val="ESSPBodyText"/>
      </w:pPr>
      <w:r>
        <w:t>Heaters, the RF receiver and the Host Spacecraft computer will be powered on collecting limited health and status telemetry and when the payload fairing is deployed, the RF transmitter may automatically be powered on to transmit health and status telemetry of the Host Spacecraft, this is vendor specific.</w:t>
      </w:r>
    </w:p>
    <w:p w14:paraId="039D37A2" w14:textId="77777777" w:rsidR="00DB15E9" w:rsidRDefault="0078312E">
      <w:pPr>
        <w:pStyle w:val="ESSPBodyText"/>
      </w:pPr>
      <w:r>
        <w:t>Instrument Launch and Ascent</w:t>
      </w:r>
    </w:p>
    <w:p w14:paraId="416BF34E" w14:textId="77777777" w:rsidR="00DB15E9" w:rsidRDefault="0078312E">
      <w:pPr>
        <w:pStyle w:val="ESSPBodyText"/>
      </w:pPr>
      <w:r>
        <w:t>The Instrument will be powered off, unless it is operating on its own battery power and the Host Spacecraft has agreed to allow it to be powered. No communication between the Instrument and the Host Spacecraft or the ground (in the event the Instrument has a dedicated RF transponder) will take place. The Host Spacecraft may provide survival heater power to the Instrument during this phase, as negotiated with the Host Spacecraft.</w:t>
      </w:r>
    </w:p>
    <w:p w14:paraId="6561CCAD" w14:textId="77777777" w:rsidR="00DB15E9" w:rsidRDefault="0078312E">
      <w:pPr>
        <w:pStyle w:val="ESSPBodyText"/>
      </w:pPr>
      <w:r>
        <w:lastRenderedPageBreak/>
        <w:t>[LEO] The Host Spacecraft will be injected directly into its orbit location as part of the launch and ascent phase.</w:t>
      </w:r>
    </w:p>
    <w:p w14:paraId="73F604C7" w14:textId="77777777" w:rsidR="00DB15E9" w:rsidRDefault="0078312E">
      <w:pPr>
        <w:pStyle w:val="ESSPBodyText"/>
      </w:pPr>
      <w:r>
        <w:t>Instrument Orbit Transfer</w:t>
      </w:r>
    </w:p>
    <w:p w14:paraId="402230C4" w14:textId="77777777" w:rsidR="00DB15E9" w:rsidRDefault="0078312E">
      <w:pPr>
        <w:pStyle w:val="ESSPBodyText"/>
      </w:pPr>
      <w:r>
        <w:t>The Instrument will be powered off and no communication between the Instrument and the Host Spacecraft or the ground (in the event the Instrument has a dedicated RF transponder) will take place, unless negotiated otherwise with the Host Spacecraft due to the science data to be collected. If the Instrument is powered off, the Host Spacecraft will provide survival heater power, as negotiated.</w:t>
      </w:r>
    </w:p>
    <w:p w14:paraId="7AB5AD62" w14:textId="77777777" w:rsidR="00DB15E9" w:rsidRDefault="0078312E">
      <w:pPr>
        <w:pStyle w:val="ESSPBodyText"/>
      </w:pPr>
      <w:r>
        <w:t>If the Instrument is powered on during this phase, the Host Spacecraft will provide primary power as negotiated.</w:t>
      </w:r>
    </w:p>
    <w:p w14:paraId="26C9952B" w14:textId="77777777" w:rsidR="00DB15E9" w:rsidRDefault="0078312E">
      <w:pPr>
        <w:pStyle w:val="ESSPBodyText"/>
      </w:pPr>
      <w:r>
        <w:t>On-Orbit Storage</w:t>
      </w:r>
    </w:p>
    <w:p w14:paraId="1E6C632C" w14:textId="77777777" w:rsidR="00DB15E9" w:rsidRDefault="0078312E">
      <w:pPr>
        <w:pStyle w:val="ESSPBodyText"/>
      </w:pPr>
      <w:r>
        <w:t>[LEO] An on-orbit storage location may be used if the Host Spacecraft is part of a constellation where the current operational spacecraft has not yet been decommissioned. The Host Spacecraft may inject into this location to perform the checkout of itself and Instrument. Upon completion of the checkout or if the operational satellite has been decommissioned, the Host Spacecraft will perform a series of maneuvers to re-locate into its location within the constellation.</w:t>
      </w:r>
    </w:p>
    <w:p w14:paraId="3F254C93" w14:textId="77777777" w:rsidR="00DB15E9" w:rsidRDefault="0078312E">
      <w:pPr>
        <w:pStyle w:val="ESSPBodyText"/>
      </w:pPr>
      <w:r>
        <w:t>Checkout</w:t>
      </w:r>
    </w:p>
    <w:p w14:paraId="14F78915" w14:textId="77777777" w:rsidR="00DB15E9" w:rsidRDefault="0078312E">
      <w:pPr>
        <w:pStyle w:val="ESSPBodyText"/>
      </w:pPr>
      <w:r>
        <w:t>After orbit transfer and the final burn is completed and the orbital location has been successfully achieved, full solar array deployment will take place and the Host Spacecraft checkout process will begin. Each subsystem will be fully powered and checked out in a systematic manor. Once the Host Spacecraft is successfully checked-out and operational, its communication payload checkout begins, also in a systematic manor. When both the Host Spacecraft and its communications payload are successfully checked-out, the owner/operator will transition to normal operations.</w:t>
      </w:r>
    </w:p>
    <w:p w14:paraId="7752B0C2" w14:textId="77777777" w:rsidR="00DB15E9" w:rsidRDefault="0078312E">
      <w:pPr>
        <w:pStyle w:val="ESSPBodyText"/>
      </w:pPr>
      <w:r>
        <w:t>Normal Operations</w:t>
      </w:r>
    </w:p>
    <w:p w14:paraId="3A540347" w14:textId="77777777" w:rsidR="00DB15E9" w:rsidRDefault="0078312E">
      <w:pPr>
        <w:pStyle w:val="ESSPBodyText"/>
      </w:pPr>
      <w:r>
        <w:t>The Host Spacecraft is in this phase as long as all hardware and functions are operating normally and will remain in this phase for the majority of its life.</w:t>
      </w:r>
    </w:p>
    <w:p w14:paraId="440E9DEC" w14:textId="77777777" w:rsidR="00DB15E9" w:rsidRDefault="0078312E">
      <w:pPr>
        <w:pStyle w:val="ESSPBodyText"/>
      </w:pPr>
      <w:r>
        <w:t>Once the transition to normal operations is achieved, only then is the Instrument powered on and the checkout process begun.</w:t>
      </w:r>
    </w:p>
    <w:p w14:paraId="7FCD4C7C" w14:textId="77777777" w:rsidR="00DB15E9" w:rsidRDefault="0078312E">
      <w:pPr>
        <w:pStyle w:val="ESSPBodyText"/>
      </w:pPr>
      <w:r>
        <w:t>Instrument Checkout</w:t>
      </w:r>
    </w:p>
    <w:p w14:paraId="01FC2484" w14:textId="77777777" w:rsidR="00DB15E9" w:rsidRDefault="0078312E">
      <w:pPr>
        <w:pStyle w:val="ESSPBodyText"/>
      </w:pPr>
      <w:r>
        <w:t>After the Host Spacecraft has achieved normal operations, the Instrument will be allowed to power on and begin its checkout process. Calibration of the Instrument would be during this phase as well. Any special maneuvering required of the Host Spacecraft will be negotiated.</w:t>
      </w:r>
    </w:p>
    <w:p w14:paraId="41118BFC" w14:textId="77777777" w:rsidR="00DB15E9" w:rsidRDefault="0078312E">
      <w:pPr>
        <w:pStyle w:val="ESSPBodyText"/>
      </w:pPr>
      <w:r>
        <w:t>Instrument Normal Operations</w:t>
      </w:r>
    </w:p>
    <w:p w14:paraId="59340695" w14:textId="77777777" w:rsidR="00DB15E9" w:rsidRDefault="0078312E">
      <w:pPr>
        <w:pStyle w:val="ESSPBodyText"/>
      </w:pPr>
      <w:r>
        <w:t>The Instrument will remain in this phase as long as all hardware and functions are operating normally and will remain in this mode for the majority of its life.</w:t>
      </w:r>
    </w:p>
    <w:p w14:paraId="3BED7046" w14:textId="77777777" w:rsidR="00DB15E9" w:rsidRDefault="0078312E">
      <w:pPr>
        <w:pStyle w:val="ESSPBodyText"/>
        <w:keepNext/>
      </w:pPr>
      <w:r>
        <w:lastRenderedPageBreak/>
        <w:t>Safehold</w:t>
      </w:r>
    </w:p>
    <w:p w14:paraId="1EF907B8" w14:textId="77777777" w:rsidR="00DB15E9" w:rsidRDefault="0078312E">
      <w:pPr>
        <w:pStyle w:val="ESSPBodyText"/>
      </w:pPr>
      <w:r>
        <w:t>While not technically an operational phase, this mode is achieved when some sort of failure of the Host Spacecraft has occurred. This mode can be achieved either autonomously or manually. During this mode, all non-essential subsystems are powered off, the communications payload maybe powered off, depending on the autonomous trigger points programmed in the flight software, the hosted payload will be powered off, and the Host Spacecraft will be maneuvered into a power-positive position. When the Host Spacecraft enters Safehold the Instrument may be commanded into Safehold, but will most likely be powered-off.</w:t>
      </w:r>
    </w:p>
    <w:p w14:paraId="52A9F2F6" w14:textId="77777777" w:rsidR="00DB15E9" w:rsidRDefault="0078312E">
      <w:pPr>
        <w:pStyle w:val="ESSPBodyText"/>
      </w:pPr>
      <w:r>
        <w:t>After the failure has been understood and it is safe to do so, the owner/operator Mission Operations Center will transition the Host Spacecraft back to normal operations. After normal operations have been achieved, the Instrument will be powered back on.</w:t>
      </w:r>
    </w:p>
    <w:p w14:paraId="5CDAAE64" w14:textId="77777777" w:rsidR="00DB15E9" w:rsidRDefault="0078312E">
      <w:pPr>
        <w:pStyle w:val="ESSPBodyText"/>
      </w:pPr>
      <w:r>
        <w:t>Instrument Safehold</w:t>
      </w:r>
    </w:p>
    <w:p w14:paraId="4C61292A" w14:textId="77777777" w:rsidR="00DB15E9" w:rsidRDefault="0078312E">
      <w:pPr>
        <w:pStyle w:val="ESSPBodyText"/>
      </w:pPr>
      <w:r>
        <w:t>The Instrument will transition to this mode due to one of two reasons, either due to a Host Spacecraft failure or an Instrument failure.</w:t>
      </w:r>
    </w:p>
    <w:p w14:paraId="46750D3E" w14:textId="77777777" w:rsidR="00DB15E9" w:rsidRDefault="0078312E">
      <w:pPr>
        <w:pStyle w:val="ESSPBodyText"/>
      </w:pPr>
      <w:r>
        <w:t>In the event the Instrument experiences a failure of some sort, it must autonomously move into this mode without manual intervention. The Instrument Mission Operations Center will manually perform the trouble shooting required and manually transition the Instrument back to normal operations.</w:t>
      </w:r>
    </w:p>
    <w:p w14:paraId="1389ED53" w14:textId="77777777" w:rsidR="00DB15E9" w:rsidRDefault="0078312E">
      <w:pPr>
        <w:pStyle w:val="ESSPBodyText"/>
      </w:pPr>
      <w:r>
        <w:t>Instrument Safehold Recovery</w:t>
      </w:r>
    </w:p>
    <w:p w14:paraId="2D624EE9" w14:textId="77777777" w:rsidR="00DB15E9" w:rsidRDefault="0078312E">
      <w:pPr>
        <w:pStyle w:val="ESSPBodyText"/>
      </w:pPr>
      <w:r>
        <w:t>If Host Spacecraft operations require the Instrument to be powered off with no notice, the Instrument must autonomously recover in a safe state once power has been restored. Once health and status telemetry collection and transmission via the Host Spacecraft has been restored, the Instrument operations center may begin processing data.</w:t>
      </w:r>
    </w:p>
    <w:p w14:paraId="2F7A1E9B" w14:textId="77777777" w:rsidR="00DB15E9" w:rsidRDefault="0078312E">
      <w:pPr>
        <w:pStyle w:val="ESSPBodyText"/>
      </w:pPr>
      <w:r>
        <w:t>Host Spacecraft Normal Operations After Instrument End of Life</w:t>
      </w:r>
    </w:p>
    <w:p w14:paraId="7AF4F19A" w14:textId="77777777" w:rsidR="00DB15E9" w:rsidRDefault="0078312E">
      <w:pPr>
        <w:pStyle w:val="ESSPBodyText"/>
      </w:pPr>
      <w:r>
        <w:t>Commercial spacecraft are designed to have operational lifetimes of typically less than 10 years in LEO. Instrument lifetimes are prescribed by their mission classification (Class C, no more than 2 years). The Instrument lifetime may be extended due to nominal performance and extended missions may be negotiated (Phase E). Since the Host Spacecraft may outlive the Instrument, the Instrument must be capable of safely decommissioning itself via ground commands.</w:t>
      </w:r>
    </w:p>
    <w:p w14:paraId="21E5A439" w14:textId="77777777" w:rsidR="00DB15E9" w:rsidRDefault="0078312E">
      <w:pPr>
        <w:pStyle w:val="ESSPBodyText"/>
        <w:rPr>
          <w:i/>
        </w:rPr>
      </w:pPr>
      <w:r>
        <w:t>During the end of life phase, the Instrument will be completely unpowered, unless survival heaters are required to ensure Host Spacecraft safety. This may involve the locking of moving parts and the discharge of any energy or consumables in the payload. This process will be carried out such that it will not perturb the Host Spacecraft in any way. Upon completion of these operations, the Host Spacecraft will consider the Instrument as a simple mass model that does not affect operations.</w:t>
      </w:r>
    </w:p>
    <w:p w14:paraId="01D9DB2E" w14:textId="77777777" w:rsidR="00DB15E9" w:rsidRDefault="0078312E">
      <w:pPr>
        <w:pStyle w:val="ESSPBodyText"/>
      </w:pPr>
      <w:r>
        <w:t>De-commissioning</w:t>
      </w:r>
    </w:p>
    <w:p w14:paraId="1DBA173B" w14:textId="77777777" w:rsidR="00DB15E9" w:rsidRDefault="0078312E">
      <w:pPr>
        <w:pStyle w:val="ESSPBodyText"/>
      </w:pPr>
      <w:r>
        <w:t xml:space="preserve">At the end of the Host Spacecraft’s mission life, it will perform a series of decommissioning maneuvers to de-orbit to clear the geostationary location. The Instrument will have been </w:t>
      </w:r>
      <w:r>
        <w:lastRenderedPageBreak/>
        <w:t>configured into the lowest possible potential energy state and then powered down at the end of its mission. The Host Spacecraft maneuvers may span several days to relocate where it will be powered down and its mission life ended.</w:t>
      </w:r>
    </w:p>
    <w:p w14:paraId="0719E9A9" w14:textId="77777777" w:rsidR="00DB15E9" w:rsidRDefault="0078312E">
      <w:pPr>
        <w:pStyle w:val="AppendixOutlineLevel2"/>
        <w:numPr>
          <w:ilvl w:val="1"/>
          <w:numId w:val="2"/>
        </w:numPr>
      </w:pPr>
      <w:bookmarkStart w:id="423" w:name="_Ref214542957"/>
      <w:bookmarkStart w:id="424" w:name="_Toc341258597"/>
      <w:bookmarkStart w:id="425" w:name="_Toc471971538"/>
      <w:r>
        <w:t>hosted payload operations</w:t>
      </w:r>
      <w:bookmarkEnd w:id="423"/>
      <w:bookmarkEnd w:id="424"/>
      <w:bookmarkEnd w:id="425"/>
    </w:p>
    <w:p w14:paraId="0825BDDB" w14:textId="77777777" w:rsidR="00DB15E9" w:rsidRDefault="0078312E">
      <w:pPr>
        <w:pStyle w:val="ESSPBodyText"/>
      </w:pPr>
      <w:bookmarkStart w:id="426" w:name="_Ref215302858"/>
      <w:bookmarkStart w:id="427" w:name="_Ref215302892"/>
      <w:bookmarkStart w:id="428" w:name="_Toc226776116"/>
      <w:bookmarkEnd w:id="422"/>
      <w:r>
        <w:t>The Host Spacecraft will have a primary mission different than that of the Instrument. The Instrument’s most important directive is to not interfere or cause damage to the Host Spacecraft or any of its payloads, and to sacrifice its own safety for that of the Host Spacecraft.</w:t>
      </w:r>
    </w:p>
    <w:p w14:paraId="2AF13CA6" w14:textId="77777777" w:rsidR="00DB15E9" w:rsidRDefault="0078312E">
      <w:pPr>
        <w:pStyle w:val="ESSPBodyText"/>
      </w:pPr>
      <w:r>
        <w:t>The Host Spacecraft has priority over the Instrument. Special or anomalous situations may require temporary suspension of Instrument operations. Instrument concerns are always secondary to the health and safety of the Host Spacecraft and the objectives of primary payloads. Suspension of Instrument operations may include explicitly commanding the Instrument to Safe mode or powering it off. If this occurs, the Satellite Operator may or may not inform the Instrument operators prior to suspension of operations.</w:t>
      </w:r>
    </w:p>
    <w:p w14:paraId="03B067BA" w14:textId="77777777" w:rsidR="00DB15E9" w:rsidRDefault="0078312E">
      <w:pPr>
        <w:pStyle w:val="AppendixOutlineLevel3"/>
        <w:numPr>
          <w:ilvl w:val="2"/>
          <w:numId w:val="2"/>
        </w:numPr>
      </w:pPr>
      <w:bookmarkStart w:id="429" w:name="_Toc341258598"/>
      <w:bookmarkStart w:id="430" w:name="_Toc471971539"/>
      <w:r>
        <w:t>Instrument Modes of Operation</w:t>
      </w:r>
      <w:bookmarkEnd w:id="429"/>
      <w:bookmarkEnd w:id="430"/>
    </w:p>
    <w:p w14:paraId="2187FF9F" w14:textId="77777777" w:rsidR="00DB15E9" w:rsidRDefault="0078312E">
      <w:pPr>
        <w:pStyle w:val="ESSPBodyText"/>
      </w:pPr>
      <w:r>
        <w:rPr>
          <w:rStyle w:val="ESSPBodyTextChar"/>
          <w:rFonts w:asciiTheme="majorHAnsi" w:hAnsiTheme="majorHAnsi" w:cstheme="majorHAnsi"/>
        </w:rPr>
        <w:fldChar w:fldCharType="begin"/>
      </w:r>
      <w:r>
        <w:rPr>
          <w:rStyle w:val="ESSPBodyTextChar"/>
          <w:rFonts w:asciiTheme="majorHAnsi" w:hAnsiTheme="majorHAnsi" w:cstheme="majorHAnsi"/>
        </w:rPr>
        <w:instrText xml:space="preserve"> REF _Ref471910417 \h </w:instrText>
      </w:r>
      <w:r>
        <w:rPr>
          <w:rStyle w:val="ESSPBodyTextChar"/>
          <w:rFonts w:asciiTheme="majorHAnsi" w:hAnsiTheme="majorHAnsi" w:cstheme="majorHAnsi"/>
        </w:rPr>
      </w:r>
      <w:r>
        <w:rPr>
          <w:rStyle w:val="ESSPBodyTextChar"/>
          <w:rFonts w:asciiTheme="majorHAnsi" w:hAnsiTheme="majorHAnsi" w:cstheme="majorHAnsi"/>
        </w:rPr>
        <w:fldChar w:fldCharType="separate"/>
      </w:r>
      <w:r>
        <w:t xml:space="preserve">Table </w:t>
      </w:r>
      <w:r>
        <w:rPr>
          <w:noProof/>
        </w:rPr>
        <w:t>B</w:t>
      </w:r>
      <w:r>
        <w:noBreakHyphen/>
      </w:r>
      <w:r>
        <w:rPr>
          <w:noProof/>
        </w:rPr>
        <w:t>1</w:t>
      </w:r>
      <w:r>
        <w:rPr>
          <w:rStyle w:val="ESSPBodyTextChar"/>
          <w:rFonts w:asciiTheme="majorHAnsi" w:hAnsiTheme="majorHAnsi" w:cstheme="majorHAnsi"/>
        </w:rPr>
        <w:fldChar w:fldCharType="end"/>
      </w:r>
      <w:r>
        <w:rPr>
          <w:rFonts w:asciiTheme="majorHAnsi" w:hAnsiTheme="majorHAnsi" w:cstheme="majorHAnsi"/>
        </w:rPr>
        <w:t xml:space="preserve"> </w:t>
      </w:r>
      <w:r>
        <w:t>shows the command and control responsibilities of the commercial Host Spacecraft Operations Center (HSOC) and Hosted Payload Operations Center (HPOC) for hosted payload missions. Hosted payload power control will be performed by HSOC commands to the commercial satellite with hosted payload commanding performed by the HPOC after power is enabled. Operation of the hosted payload will be performed by the HPOC. In case of any space segment anomalies, the HSOC and HPOC will take corrective actions with agreed upon procedures and real-time coordination by the respective control teams.</w:t>
      </w:r>
    </w:p>
    <w:p w14:paraId="79664150" w14:textId="77777777" w:rsidR="00DB15E9" w:rsidRDefault="0078312E">
      <w:pPr>
        <w:pStyle w:val="ESSPTableCaption"/>
      </w:pPr>
      <w:bookmarkStart w:id="431" w:name="_Ref471910417"/>
      <w:bookmarkStart w:id="432" w:name="_Toc471971578"/>
      <w:r>
        <w:t xml:space="preserve">Table </w:t>
      </w:r>
      <w:r w:rsidR="00BA5284">
        <w:fldChar w:fldCharType="begin"/>
      </w:r>
      <w:r w:rsidR="00BA5284">
        <w:instrText xml:space="preserve"> STYLEREF 7 \s </w:instrText>
      </w:r>
      <w:r w:rsidR="00BA5284">
        <w:fldChar w:fldCharType="separate"/>
      </w:r>
      <w:r>
        <w:rPr>
          <w:noProof/>
        </w:rPr>
        <w:t>B</w:t>
      </w:r>
      <w:r w:rsidR="00BA5284">
        <w:rPr>
          <w:noProof/>
        </w:rPr>
        <w:fldChar w:fldCharType="end"/>
      </w:r>
      <w:r>
        <w:noBreakHyphen/>
      </w:r>
      <w:r w:rsidR="00BA5284">
        <w:fldChar w:fldCharType="begin"/>
      </w:r>
      <w:r w:rsidR="00BA5284">
        <w:instrText xml:space="preserve"> SEQ Table \* ARABIC \r 1 </w:instrText>
      </w:r>
      <w:r w:rsidR="00BA5284">
        <w:fldChar w:fldCharType="separate"/>
      </w:r>
      <w:r>
        <w:rPr>
          <w:noProof/>
        </w:rPr>
        <w:t>1</w:t>
      </w:r>
      <w:r w:rsidR="00BA5284">
        <w:rPr>
          <w:noProof/>
        </w:rPr>
        <w:fldChar w:fldCharType="end"/>
      </w:r>
      <w:bookmarkEnd w:id="431"/>
      <w:r>
        <w:t>: LEO Instrument Operating Modes Based Upon Mission Phase</w:t>
      </w:r>
      <w:bookmarkEnd w:id="432"/>
    </w:p>
    <w:tbl>
      <w:tblPr>
        <w:tblW w:w="9454" w:type="dxa"/>
        <w:jc w:val="center"/>
        <w:tblLayout w:type="fixed"/>
        <w:tblLook w:val="04A0" w:firstRow="1" w:lastRow="0" w:firstColumn="1" w:lastColumn="0" w:noHBand="0" w:noVBand="1"/>
      </w:tblPr>
      <w:tblGrid>
        <w:gridCol w:w="9454"/>
      </w:tblGrid>
      <w:tr w:rsidR="00DB15E9" w14:paraId="54D65C51" w14:textId="77777777">
        <w:trPr>
          <w:trHeight w:val="277"/>
          <w:jc w:val="center"/>
        </w:trPr>
        <w:tc>
          <w:tcPr>
            <w:tcW w:w="9454" w:type="dxa"/>
            <w:tcBorders>
              <w:top w:val="nil"/>
              <w:left w:val="nil"/>
              <w:bottom w:val="nil"/>
              <w:right w:val="nil"/>
            </w:tcBorders>
            <w:shd w:val="clear" w:color="auto" w:fill="auto"/>
            <w:vAlign w:val="center"/>
            <w:hideMark/>
          </w:tcPr>
          <w:tbl>
            <w:tblPr>
              <w:tblStyle w:val="TableGrid8"/>
              <w:tblW w:w="9156" w:type="dxa"/>
              <w:tblLayout w:type="fixed"/>
              <w:tblLook w:val="04A0" w:firstRow="1" w:lastRow="0" w:firstColumn="1" w:lastColumn="0" w:noHBand="0" w:noVBand="1"/>
            </w:tblPr>
            <w:tblGrid>
              <w:gridCol w:w="1611"/>
              <w:gridCol w:w="986"/>
              <w:gridCol w:w="1004"/>
              <w:gridCol w:w="1008"/>
              <w:gridCol w:w="1165"/>
              <w:gridCol w:w="1156"/>
              <w:gridCol w:w="1152"/>
              <w:gridCol w:w="1074"/>
            </w:tblGrid>
            <w:tr w:rsidR="00DB15E9" w14:paraId="202C8432" w14:textId="77777777" w:rsidTr="00DB15E9">
              <w:trPr>
                <w:cnfStyle w:val="100000000000" w:firstRow="1" w:lastRow="0" w:firstColumn="0" w:lastColumn="0" w:oddVBand="0" w:evenVBand="0" w:oddHBand="0" w:evenHBand="0" w:firstRowFirstColumn="0" w:firstRowLastColumn="0" w:lastRowFirstColumn="0" w:lastRowLastColumn="0"/>
                <w:trHeight w:val="444"/>
              </w:trPr>
              <w:tc>
                <w:tcPr>
                  <w:tcW w:w="1611" w:type="dxa"/>
                  <w:vAlign w:val="bottom"/>
                  <w:hideMark/>
                </w:tcPr>
                <w:p w14:paraId="62E48FFF"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Instrument Mission Phase</w:t>
                  </w:r>
                </w:p>
              </w:tc>
              <w:tc>
                <w:tcPr>
                  <w:tcW w:w="986" w:type="dxa"/>
                  <w:vAlign w:val="bottom"/>
                  <w:hideMark/>
                </w:tcPr>
                <w:p w14:paraId="7575263D"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Launch</w:t>
                  </w:r>
                </w:p>
              </w:tc>
              <w:tc>
                <w:tcPr>
                  <w:tcW w:w="1004" w:type="dxa"/>
                  <w:vAlign w:val="bottom"/>
                  <w:hideMark/>
                </w:tcPr>
                <w:p w14:paraId="2A48F4FD"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Orbit</w:t>
                  </w:r>
                </w:p>
                <w:p w14:paraId="4BEB4714"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Transfer</w:t>
                  </w:r>
                </w:p>
              </w:tc>
              <w:tc>
                <w:tcPr>
                  <w:tcW w:w="1008" w:type="dxa"/>
                  <w:vAlign w:val="bottom"/>
                  <w:hideMark/>
                </w:tcPr>
                <w:p w14:paraId="1C12BACF"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On Orbit Storage</w:t>
                  </w:r>
                </w:p>
              </w:tc>
              <w:tc>
                <w:tcPr>
                  <w:tcW w:w="1165" w:type="dxa"/>
                  <w:vAlign w:val="bottom"/>
                  <w:hideMark/>
                </w:tcPr>
                <w:p w14:paraId="15956A4C"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Checkout</w:t>
                  </w:r>
                </w:p>
              </w:tc>
              <w:tc>
                <w:tcPr>
                  <w:tcW w:w="1156" w:type="dxa"/>
                  <w:vAlign w:val="bottom"/>
                  <w:hideMark/>
                </w:tcPr>
                <w:p w14:paraId="201BA9F2"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Nominal</w:t>
                  </w:r>
                </w:p>
                <w:p w14:paraId="60537590"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Operations</w:t>
                  </w:r>
                </w:p>
              </w:tc>
              <w:tc>
                <w:tcPr>
                  <w:tcW w:w="1152" w:type="dxa"/>
                  <w:vAlign w:val="bottom"/>
                  <w:hideMark/>
                </w:tcPr>
                <w:p w14:paraId="7CD20E8B"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Anomalous</w:t>
                  </w:r>
                </w:p>
                <w:p w14:paraId="2184E6A8"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Operations</w:t>
                  </w:r>
                </w:p>
              </w:tc>
              <w:tc>
                <w:tcPr>
                  <w:tcW w:w="1074" w:type="dxa"/>
                  <w:vAlign w:val="bottom"/>
                  <w:hideMark/>
                </w:tcPr>
                <w:p w14:paraId="02916DC3" w14:textId="77777777" w:rsidR="00DB15E9" w:rsidRDefault="0078312E">
                  <w:pPr>
                    <w:spacing w:after="0" w:line="180" w:lineRule="exact"/>
                    <w:jc w:val="center"/>
                    <w:rPr>
                      <w:rFonts w:ascii="Helvetica" w:hAnsi="Helvetica" w:cstheme="minorHAnsi"/>
                      <w:bCs w:val="0"/>
                      <w:color w:val="FFFFFF" w:themeColor="background1"/>
                      <w:sz w:val="16"/>
                      <w:szCs w:val="24"/>
                    </w:rPr>
                  </w:pPr>
                  <w:r>
                    <w:rPr>
                      <w:rFonts w:ascii="Helvetica" w:hAnsi="Helvetica" w:cstheme="minorHAnsi"/>
                      <w:bCs w:val="0"/>
                      <w:color w:val="FFFFFF" w:themeColor="background1"/>
                      <w:sz w:val="16"/>
                      <w:szCs w:val="24"/>
                    </w:rPr>
                    <w:t>End of Life</w:t>
                  </w:r>
                </w:p>
              </w:tc>
            </w:tr>
            <w:tr w:rsidR="00DB15E9" w14:paraId="7D29E97C" w14:textId="77777777" w:rsidTr="00DB15E9">
              <w:trPr>
                <w:trHeight w:val="291"/>
              </w:trPr>
              <w:tc>
                <w:tcPr>
                  <w:tcW w:w="1611" w:type="dxa"/>
                  <w:hideMark/>
                </w:tcPr>
                <w:p w14:paraId="66D8280A" w14:textId="77777777" w:rsidR="00DB15E9" w:rsidRDefault="0078312E">
                  <w:pPr>
                    <w:spacing w:after="0" w:line="180" w:lineRule="exact"/>
                    <w:rPr>
                      <w:rFonts w:ascii="Helvetica" w:hAnsi="Helvetica" w:cstheme="minorHAnsi"/>
                      <w:color w:val="000000"/>
                      <w:sz w:val="18"/>
                      <w:szCs w:val="24"/>
                    </w:rPr>
                  </w:pPr>
                  <w:r>
                    <w:rPr>
                      <w:rFonts w:ascii="Helvetica" w:hAnsi="Helvetica" w:cstheme="minorHAnsi"/>
                      <w:color w:val="000000"/>
                      <w:sz w:val="18"/>
                      <w:szCs w:val="24"/>
                    </w:rPr>
                    <w:t>Survival Power</w:t>
                  </w:r>
                </w:p>
              </w:tc>
              <w:tc>
                <w:tcPr>
                  <w:tcW w:w="986" w:type="dxa"/>
                  <w:noWrap/>
                  <w:hideMark/>
                </w:tcPr>
                <w:p w14:paraId="0D84E91E" w14:textId="77777777" w:rsidR="00DB15E9" w:rsidRDefault="0078312E">
                  <w:pPr>
                    <w:spacing w:after="0" w:line="180" w:lineRule="exact"/>
                    <w:ind w:left="1440" w:hanging="1440"/>
                    <w:jc w:val="center"/>
                    <w:rPr>
                      <w:rFonts w:ascii="Helvetica" w:hAnsi="Helvetica" w:cstheme="minorHAnsi"/>
                      <w:smallCaps/>
                      <w:color w:val="000000"/>
                      <w:sz w:val="18"/>
                      <w:szCs w:val="24"/>
                    </w:rPr>
                  </w:pPr>
                  <w:r>
                    <w:rPr>
                      <w:rFonts w:ascii="Helvetica" w:hAnsi="Helvetica" w:cstheme="minorHAnsi"/>
                      <w:smallCaps/>
                      <w:color w:val="000000"/>
                      <w:sz w:val="18"/>
                      <w:szCs w:val="24"/>
                    </w:rPr>
                    <w:t>Off/On</w:t>
                  </w:r>
                </w:p>
              </w:tc>
              <w:tc>
                <w:tcPr>
                  <w:tcW w:w="1004" w:type="dxa"/>
                  <w:hideMark/>
                </w:tcPr>
                <w:p w14:paraId="3EEFE370"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008" w:type="dxa"/>
                  <w:hideMark/>
                </w:tcPr>
                <w:p w14:paraId="13F51ABA"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165" w:type="dxa"/>
                  <w:hideMark/>
                </w:tcPr>
                <w:p w14:paraId="3D0F1FA5"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156" w:type="dxa"/>
                  <w:hideMark/>
                </w:tcPr>
                <w:p w14:paraId="083DE120"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152" w:type="dxa"/>
                  <w:hideMark/>
                </w:tcPr>
                <w:p w14:paraId="48F2367B"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074" w:type="dxa"/>
                  <w:hideMark/>
                </w:tcPr>
                <w:p w14:paraId="0F20ECD2"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On/Off</w:t>
                  </w:r>
                </w:p>
              </w:tc>
            </w:tr>
            <w:tr w:rsidR="00DB15E9" w14:paraId="24048BA5" w14:textId="77777777" w:rsidTr="00DB15E9">
              <w:trPr>
                <w:trHeight w:val="291"/>
              </w:trPr>
              <w:tc>
                <w:tcPr>
                  <w:tcW w:w="1611" w:type="dxa"/>
                  <w:hideMark/>
                </w:tcPr>
                <w:p w14:paraId="4BEF38E6" w14:textId="77777777" w:rsidR="00DB15E9" w:rsidRDefault="0078312E">
                  <w:pPr>
                    <w:spacing w:after="0" w:line="180" w:lineRule="exact"/>
                    <w:rPr>
                      <w:rFonts w:ascii="Helvetica" w:hAnsi="Helvetica" w:cstheme="minorHAnsi"/>
                      <w:color w:val="000000"/>
                      <w:sz w:val="18"/>
                      <w:szCs w:val="24"/>
                    </w:rPr>
                  </w:pPr>
                  <w:r>
                    <w:rPr>
                      <w:rFonts w:ascii="Helvetica" w:hAnsi="Helvetica" w:cstheme="minorHAnsi"/>
                      <w:color w:val="000000"/>
                      <w:sz w:val="18"/>
                      <w:szCs w:val="24"/>
                    </w:rPr>
                    <w:t>Instrument Power</w:t>
                  </w:r>
                </w:p>
              </w:tc>
              <w:tc>
                <w:tcPr>
                  <w:tcW w:w="986" w:type="dxa"/>
                  <w:noWrap/>
                  <w:hideMark/>
                </w:tcPr>
                <w:p w14:paraId="3366BD53" w14:textId="77777777" w:rsidR="00DB15E9" w:rsidRDefault="0078312E">
                  <w:pPr>
                    <w:spacing w:after="0" w:line="180" w:lineRule="exact"/>
                    <w:ind w:left="1440" w:hanging="1440"/>
                    <w:jc w:val="center"/>
                    <w:rPr>
                      <w:rFonts w:ascii="Helvetica" w:hAnsi="Helvetica" w:cstheme="minorHAnsi"/>
                      <w:smallCaps/>
                      <w:color w:val="000000"/>
                      <w:sz w:val="18"/>
                      <w:szCs w:val="24"/>
                    </w:rPr>
                  </w:pPr>
                  <w:r>
                    <w:rPr>
                      <w:rFonts w:ascii="Helvetica" w:hAnsi="Helvetica" w:cstheme="minorHAnsi"/>
                      <w:smallCaps/>
                      <w:color w:val="000000"/>
                      <w:sz w:val="18"/>
                      <w:szCs w:val="24"/>
                    </w:rPr>
                    <w:t>Off</w:t>
                  </w:r>
                </w:p>
              </w:tc>
              <w:tc>
                <w:tcPr>
                  <w:tcW w:w="1004" w:type="dxa"/>
                  <w:hideMark/>
                </w:tcPr>
                <w:p w14:paraId="0779F6F7"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w:t>
                  </w:r>
                </w:p>
              </w:tc>
              <w:tc>
                <w:tcPr>
                  <w:tcW w:w="1008" w:type="dxa"/>
                  <w:hideMark/>
                </w:tcPr>
                <w:p w14:paraId="6D042517"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w:t>
                  </w:r>
                </w:p>
              </w:tc>
              <w:tc>
                <w:tcPr>
                  <w:tcW w:w="1165" w:type="dxa"/>
                  <w:hideMark/>
                </w:tcPr>
                <w:p w14:paraId="530FC882"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Off/On</w:t>
                  </w:r>
                </w:p>
              </w:tc>
              <w:tc>
                <w:tcPr>
                  <w:tcW w:w="1156" w:type="dxa"/>
                  <w:hideMark/>
                </w:tcPr>
                <w:p w14:paraId="1F8C0576"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152" w:type="dxa"/>
                  <w:hideMark/>
                </w:tcPr>
                <w:p w14:paraId="59BA385D"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w:t>
                  </w:r>
                </w:p>
              </w:tc>
              <w:tc>
                <w:tcPr>
                  <w:tcW w:w="1074" w:type="dxa"/>
                  <w:hideMark/>
                </w:tcPr>
                <w:p w14:paraId="58111FFA"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On/Off</w:t>
                  </w:r>
                </w:p>
              </w:tc>
            </w:tr>
            <w:tr w:rsidR="00DB15E9" w14:paraId="372B4F54" w14:textId="77777777" w:rsidTr="00DB15E9">
              <w:trPr>
                <w:trHeight w:val="277"/>
              </w:trPr>
              <w:tc>
                <w:tcPr>
                  <w:tcW w:w="1611" w:type="dxa"/>
                  <w:hideMark/>
                </w:tcPr>
                <w:p w14:paraId="5D6DF9E7" w14:textId="77777777" w:rsidR="00DB15E9" w:rsidRDefault="0078312E">
                  <w:pPr>
                    <w:spacing w:after="0" w:line="180" w:lineRule="exact"/>
                    <w:rPr>
                      <w:rFonts w:ascii="Helvetica" w:hAnsi="Helvetica" w:cstheme="minorHAnsi"/>
                      <w:color w:val="000000"/>
                      <w:sz w:val="18"/>
                      <w:szCs w:val="24"/>
                    </w:rPr>
                  </w:pPr>
                  <w:r>
                    <w:rPr>
                      <w:rFonts w:ascii="Helvetica" w:hAnsi="Helvetica" w:cstheme="minorHAnsi"/>
                      <w:color w:val="000000"/>
                      <w:sz w:val="18"/>
                      <w:szCs w:val="24"/>
                    </w:rPr>
                    <w:t>Mode</w:t>
                  </w:r>
                </w:p>
              </w:tc>
              <w:tc>
                <w:tcPr>
                  <w:tcW w:w="986" w:type="dxa"/>
                  <w:noWrap/>
                  <w:hideMark/>
                </w:tcPr>
                <w:p w14:paraId="5F18FF43"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 Survival</w:t>
                  </w:r>
                </w:p>
              </w:tc>
              <w:tc>
                <w:tcPr>
                  <w:tcW w:w="1004" w:type="dxa"/>
                  <w:noWrap/>
                  <w:hideMark/>
                </w:tcPr>
                <w:p w14:paraId="5D05A034"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 Survival</w:t>
                  </w:r>
                </w:p>
              </w:tc>
              <w:tc>
                <w:tcPr>
                  <w:tcW w:w="1008" w:type="dxa"/>
                  <w:hideMark/>
                </w:tcPr>
                <w:p w14:paraId="3BDFD630"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Off/ Survival</w:t>
                  </w:r>
                </w:p>
              </w:tc>
              <w:tc>
                <w:tcPr>
                  <w:tcW w:w="1165" w:type="dxa"/>
                  <w:noWrap/>
                  <w:hideMark/>
                </w:tcPr>
                <w:p w14:paraId="1528CD7A"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Initialize/ Operation/ Safe</w:t>
                  </w:r>
                </w:p>
              </w:tc>
              <w:tc>
                <w:tcPr>
                  <w:tcW w:w="1156" w:type="dxa"/>
                  <w:noWrap/>
                  <w:hideMark/>
                </w:tcPr>
                <w:p w14:paraId="595F7339"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Operation</w:t>
                  </w:r>
                </w:p>
              </w:tc>
              <w:tc>
                <w:tcPr>
                  <w:tcW w:w="1152" w:type="dxa"/>
                  <w:noWrap/>
                  <w:hideMark/>
                </w:tcPr>
                <w:p w14:paraId="3DD42A7F"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Safe</w:t>
                  </w:r>
                </w:p>
              </w:tc>
              <w:tc>
                <w:tcPr>
                  <w:tcW w:w="1074" w:type="dxa"/>
                  <w:hideMark/>
                </w:tcPr>
                <w:p w14:paraId="0F6F2D58" w14:textId="77777777" w:rsidR="00DB15E9" w:rsidRDefault="0078312E">
                  <w:pPr>
                    <w:spacing w:after="0" w:line="180" w:lineRule="exact"/>
                    <w:jc w:val="center"/>
                    <w:rPr>
                      <w:rFonts w:ascii="Helvetica" w:hAnsi="Helvetica" w:cstheme="minorHAnsi"/>
                      <w:smallCaps/>
                      <w:color w:val="000000"/>
                      <w:sz w:val="18"/>
                      <w:szCs w:val="24"/>
                    </w:rPr>
                  </w:pPr>
                  <w:r>
                    <w:rPr>
                      <w:rFonts w:ascii="Helvetica" w:hAnsi="Helvetica" w:cstheme="minorHAnsi"/>
                      <w:smallCaps/>
                      <w:color w:val="000000"/>
                      <w:sz w:val="18"/>
                      <w:szCs w:val="24"/>
                    </w:rPr>
                    <w:t>Safe/ Off/ Survival</w:t>
                  </w:r>
                </w:p>
              </w:tc>
            </w:tr>
            <w:tr w:rsidR="00DB15E9" w14:paraId="55283A08" w14:textId="77777777" w:rsidTr="00DB15E9">
              <w:trPr>
                <w:trHeight w:val="444"/>
              </w:trPr>
              <w:tc>
                <w:tcPr>
                  <w:tcW w:w="1611" w:type="dxa"/>
                  <w:hideMark/>
                </w:tcPr>
                <w:p w14:paraId="138F1280" w14:textId="77777777" w:rsidR="00DB15E9" w:rsidRDefault="0078312E">
                  <w:pPr>
                    <w:spacing w:after="0" w:line="180" w:lineRule="exact"/>
                    <w:rPr>
                      <w:rFonts w:ascii="Helvetica" w:hAnsi="Helvetica" w:cstheme="minorHAnsi"/>
                      <w:color w:val="000000"/>
                      <w:sz w:val="18"/>
                      <w:szCs w:val="24"/>
                    </w:rPr>
                  </w:pPr>
                  <w:r>
                    <w:rPr>
                      <w:rFonts w:ascii="Helvetica" w:hAnsi="Helvetica" w:cstheme="minorHAnsi"/>
                      <w:color w:val="000000"/>
                      <w:sz w:val="18"/>
                      <w:szCs w:val="24"/>
                    </w:rPr>
                    <w:t>Command Source</w:t>
                  </w:r>
                </w:p>
              </w:tc>
              <w:tc>
                <w:tcPr>
                  <w:tcW w:w="986" w:type="dxa"/>
                  <w:noWrap/>
                  <w:hideMark/>
                </w:tcPr>
                <w:p w14:paraId="72C568D3"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NA</w:t>
                  </w:r>
                </w:p>
              </w:tc>
              <w:tc>
                <w:tcPr>
                  <w:tcW w:w="1004" w:type="dxa"/>
                  <w:noWrap/>
                  <w:hideMark/>
                </w:tcPr>
                <w:p w14:paraId="1A536CED"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NA</w:t>
                  </w:r>
                </w:p>
              </w:tc>
              <w:tc>
                <w:tcPr>
                  <w:tcW w:w="1008" w:type="dxa"/>
                  <w:hideMark/>
                </w:tcPr>
                <w:p w14:paraId="0D8686C2"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NA</w:t>
                  </w:r>
                </w:p>
              </w:tc>
              <w:tc>
                <w:tcPr>
                  <w:tcW w:w="1165" w:type="dxa"/>
                  <w:noWrap/>
                  <w:hideMark/>
                </w:tcPr>
                <w:p w14:paraId="7CEC7EF7"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HPOC</w:t>
                  </w:r>
                </w:p>
              </w:tc>
              <w:tc>
                <w:tcPr>
                  <w:tcW w:w="1156" w:type="dxa"/>
                  <w:noWrap/>
                  <w:hideMark/>
                </w:tcPr>
                <w:p w14:paraId="17CFB64E"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HPOC</w:t>
                  </w:r>
                </w:p>
              </w:tc>
              <w:tc>
                <w:tcPr>
                  <w:tcW w:w="1152" w:type="dxa"/>
                  <w:noWrap/>
                  <w:hideMark/>
                </w:tcPr>
                <w:p w14:paraId="16918975"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HPOC</w:t>
                  </w:r>
                </w:p>
              </w:tc>
              <w:tc>
                <w:tcPr>
                  <w:tcW w:w="1074" w:type="dxa"/>
                  <w:hideMark/>
                </w:tcPr>
                <w:p w14:paraId="68530D0A" w14:textId="77777777" w:rsidR="00DB15E9" w:rsidRDefault="0078312E">
                  <w:pPr>
                    <w:spacing w:after="0" w:line="180" w:lineRule="exact"/>
                    <w:jc w:val="center"/>
                    <w:rPr>
                      <w:rFonts w:ascii="Helvetica" w:hAnsi="Helvetica" w:cstheme="minorHAnsi"/>
                      <w:color w:val="000000"/>
                      <w:sz w:val="18"/>
                      <w:szCs w:val="24"/>
                    </w:rPr>
                  </w:pPr>
                  <w:r>
                    <w:rPr>
                      <w:rFonts w:ascii="Helvetica" w:hAnsi="Helvetica" w:cstheme="minorHAnsi"/>
                      <w:color w:val="000000"/>
                      <w:sz w:val="18"/>
                      <w:szCs w:val="24"/>
                    </w:rPr>
                    <w:t>HPOC/ NA</w:t>
                  </w:r>
                </w:p>
              </w:tc>
            </w:tr>
            <w:tr w:rsidR="00DB15E9" w14:paraId="5E6FC925" w14:textId="77777777" w:rsidTr="00DB15E9">
              <w:trPr>
                <w:trHeight w:val="74"/>
              </w:trPr>
              <w:tc>
                <w:tcPr>
                  <w:tcW w:w="9156" w:type="dxa"/>
                  <w:gridSpan w:val="8"/>
                </w:tcPr>
                <w:p w14:paraId="03473959" w14:textId="77777777" w:rsidR="00DB15E9" w:rsidRDefault="0078312E">
                  <w:pPr>
                    <w:spacing w:after="0" w:line="180" w:lineRule="exact"/>
                    <w:rPr>
                      <w:rFonts w:ascii="Helvetica" w:hAnsi="Helvetica" w:cstheme="minorHAnsi"/>
                      <w:i/>
                      <w:color w:val="000000"/>
                      <w:sz w:val="18"/>
                      <w:szCs w:val="24"/>
                    </w:rPr>
                  </w:pPr>
                  <w:r>
                    <w:rPr>
                      <w:rFonts w:ascii="Helvetica" w:hAnsi="Helvetica" w:cstheme="minorHAnsi"/>
                      <w:i/>
                      <w:color w:val="000000"/>
                      <w:sz w:val="18"/>
                      <w:szCs w:val="24"/>
                    </w:rPr>
                    <w:t>Note: Host Spacecraft controls Instrument power.</w:t>
                  </w:r>
                </w:p>
              </w:tc>
            </w:tr>
          </w:tbl>
          <w:p w14:paraId="01848B08" w14:textId="77777777" w:rsidR="00DB15E9" w:rsidRDefault="00DB15E9">
            <w:pPr>
              <w:spacing w:after="0"/>
              <w:rPr>
                <w:rFonts w:asciiTheme="minorHAnsi" w:hAnsiTheme="minorHAnsi" w:cstheme="minorHAnsi"/>
                <w:color w:val="000000"/>
                <w:sz w:val="18"/>
                <w:szCs w:val="18"/>
              </w:rPr>
            </w:pPr>
          </w:p>
        </w:tc>
      </w:tr>
    </w:tbl>
    <w:p w14:paraId="3EA061EC" w14:textId="77777777" w:rsidR="00DB15E9" w:rsidRDefault="0078312E">
      <w:pPr>
        <w:pStyle w:val="ESSPBodyText"/>
      </w:pPr>
      <w:r>
        <w:t xml:space="preserve">The following are a set of short descriptions of each of the basic modes of operation. A more detailed set of guidance regarding these basic modes and transitions may be found in </w:t>
      </w:r>
      <w:r>
        <w:rPr>
          <w:rStyle w:val="ESSPBodyTextChar"/>
        </w:rPr>
        <w:fldChar w:fldCharType="begin"/>
      </w:r>
      <w:r>
        <w:rPr>
          <w:rStyle w:val="ESSPBodyTextChar"/>
        </w:rPr>
        <w:instrText xml:space="preserve"> REF _Ref296351496 \r \h  \* </w:instrText>
      </w:r>
      <w:r>
        <w:instrText>Charformat</w:instrText>
      </w:r>
      <w:r>
        <w:rPr>
          <w:rStyle w:val="ESSPBodyTextChar"/>
        </w:rPr>
        <w:instrText xml:space="preserve">  \* MERGEFORMAT </w:instrText>
      </w:r>
      <w:r>
        <w:rPr>
          <w:rStyle w:val="ESSPBodyTextChar"/>
        </w:rPr>
      </w:r>
      <w:r>
        <w:rPr>
          <w:rStyle w:val="ESSPBodyTextChar"/>
        </w:rPr>
        <w:fldChar w:fldCharType="separate"/>
      </w:r>
      <w:r>
        <w:rPr>
          <w:rStyle w:val="ESSPBodyTextChar"/>
        </w:rPr>
        <w:t>Appendix D</w:t>
      </w:r>
      <w:r>
        <w:rPr>
          <w:rStyle w:val="ESSPBodyTextChar"/>
        </w:rPr>
        <w:fldChar w:fldCharType="end"/>
      </w:r>
      <w:r>
        <w:t>.</w:t>
      </w:r>
    </w:p>
    <w:p w14:paraId="29D97F84" w14:textId="77777777" w:rsidR="00DB15E9" w:rsidRDefault="0078312E">
      <w:pPr>
        <w:pStyle w:val="ESSPBodyText"/>
      </w:pPr>
      <w:r>
        <w:t>Off/Survival Mode</w:t>
      </w:r>
    </w:p>
    <w:p w14:paraId="17FDAA32" w14:textId="77777777" w:rsidR="00DB15E9" w:rsidRDefault="0078312E">
      <w:pPr>
        <w:pStyle w:val="ESSPBodyText"/>
      </w:pPr>
      <w:r>
        <w:t xml:space="preserve">In the </w:t>
      </w:r>
      <w:r>
        <w:rPr>
          <w:smallCaps/>
        </w:rPr>
        <w:t>Off/Survival</w:t>
      </w:r>
      <w:r>
        <w:t xml:space="preserve"> Mode, the Instrument is always unpowered and the instrument survival heaters are in one of two power application states. In the survival heater </w:t>
      </w:r>
      <w:r>
        <w:rPr>
          <w:smallCaps/>
        </w:rPr>
        <w:t>Off</w:t>
      </w:r>
      <w:r>
        <w:t xml:space="preserve"> state of the </w:t>
      </w:r>
      <w:r>
        <w:rPr>
          <w:smallCaps/>
        </w:rPr>
        <w:t>Off/Survival</w:t>
      </w:r>
      <w:r>
        <w:t xml:space="preserve"> mode, the survival heaters are unpowered. In the survival heater </w:t>
      </w:r>
      <w:r>
        <w:rPr>
          <w:smallCaps/>
        </w:rPr>
        <w:t>On</w:t>
      </w:r>
      <w:r>
        <w:t xml:space="preserve"> state of the </w:t>
      </w:r>
      <w:r>
        <w:rPr>
          <w:smallCaps/>
        </w:rPr>
        <w:t>Off/Survival</w:t>
      </w:r>
      <w:r>
        <w:t xml:space="preserve"> Mode, the survival heaters are powered. The Host Spacecraft should verify that the power to the survival heaters is enabled after the command to enter the survival heater </w:t>
      </w:r>
      <w:r>
        <w:rPr>
          <w:smallCaps/>
        </w:rPr>
        <w:t>On</w:t>
      </w:r>
      <w:r>
        <w:t xml:space="preserve"> state of </w:t>
      </w:r>
      <w:r>
        <w:lastRenderedPageBreak/>
        <w:t xml:space="preserve">the </w:t>
      </w:r>
      <w:r>
        <w:rPr>
          <w:smallCaps/>
        </w:rPr>
        <w:t>Off/Survival</w:t>
      </w:r>
      <w:r>
        <w:t xml:space="preserve"> mode has been actuated. Nominal transitions into the </w:t>
      </w:r>
      <w:r>
        <w:rPr>
          <w:smallCaps/>
        </w:rPr>
        <w:t>Off/Survival</w:t>
      </w:r>
      <w:r>
        <w:t xml:space="preserve"> mode are either from the </w:t>
      </w:r>
      <w:r>
        <w:rPr>
          <w:smallCaps/>
        </w:rPr>
        <w:t>Initialization</w:t>
      </w:r>
      <w:r>
        <w:t xml:space="preserve"> mode, the </w:t>
      </w:r>
      <w:r>
        <w:rPr>
          <w:smallCaps/>
        </w:rPr>
        <w:t>Safe</w:t>
      </w:r>
      <w:r>
        <w:t xml:space="preserve"> mode or the </w:t>
      </w:r>
      <w:r>
        <w:rPr>
          <w:smallCaps/>
        </w:rPr>
        <w:t>Operation</w:t>
      </w:r>
      <w:r>
        <w:t xml:space="preserve"> mode with the preferred path being a transition from the</w:t>
      </w:r>
      <w:r>
        <w:rPr>
          <w:smallCaps/>
        </w:rPr>
        <w:t xml:space="preserve"> Safe</w:t>
      </w:r>
      <w:r>
        <w:t xml:space="preserve"> mode. The only transition possible out of the </w:t>
      </w:r>
      <w:r>
        <w:rPr>
          <w:smallCaps/>
        </w:rPr>
        <w:t>Off/Survival</w:t>
      </w:r>
      <w:r>
        <w:t xml:space="preserve"> mode is into the </w:t>
      </w:r>
      <w:r>
        <w:rPr>
          <w:smallCaps/>
        </w:rPr>
        <w:t>Initialization</w:t>
      </w:r>
      <w:r>
        <w:t xml:space="preserve"> mode.</w:t>
      </w:r>
    </w:p>
    <w:p w14:paraId="7976FF53" w14:textId="77777777" w:rsidR="00DB15E9" w:rsidRDefault="0078312E">
      <w:pPr>
        <w:pStyle w:val="ESSPBodyText"/>
      </w:pPr>
      <w:r>
        <w:t xml:space="preserve">It is important to note that the Instrument should be capable of withstanding a near instantaneous transition into the </w:t>
      </w:r>
      <w:r>
        <w:rPr>
          <w:smallCaps/>
        </w:rPr>
        <w:t>Off/Survival</w:t>
      </w:r>
      <w:r>
        <w:t xml:space="preserve"> mode at any time and from any of the other three Instrument modes. Such a transition may be required by the Host Spacecraft host and would result in the sudden removal of operational power. This could occur without advance warning or notification and with no ability for the Instrument to go through an orderly shutdown sequence. This sudden removal of instrument power could also be coupled with the near instantaneous activation of the survival heater power circuit(s).</w:t>
      </w:r>
    </w:p>
    <w:p w14:paraId="652E1813" w14:textId="77777777" w:rsidR="00DB15E9" w:rsidRDefault="0078312E">
      <w:pPr>
        <w:pStyle w:val="ESSPBodyText"/>
      </w:pPr>
      <w:r>
        <w:t>Initialization Mode</w:t>
      </w:r>
    </w:p>
    <w:p w14:paraId="345E73BC" w14:textId="77777777" w:rsidR="00DB15E9" w:rsidRDefault="0078312E">
      <w:pPr>
        <w:pStyle w:val="ESSPBodyText"/>
      </w:pPr>
      <w:r>
        <w:t xml:space="preserve">When first powered-on, the Instrument transitions from the </w:t>
      </w:r>
      <w:r>
        <w:rPr>
          <w:smallCaps/>
        </w:rPr>
        <w:t>Off/Survival</w:t>
      </w:r>
      <w:r>
        <w:t xml:space="preserve"> mode to the </w:t>
      </w:r>
      <w:r>
        <w:rPr>
          <w:smallCaps/>
        </w:rPr>
        <w:t>Initialization</w:t>
      </w:r>
      <w:r>
        <w:t xml:space="preserve"> mode and conducts all the internal operations that are necessary in order to transition to the </w:t>
      </w:r>
      <w:r>
        <w:rPr>
          <w:smallCaps/>
        </w:rPr>
        <w:t>Operation</w:t>
      </w:r>
      <w:r>
        <w:t xml:space="preserve"> mode or to the </w:t>
      </w:r>
      <w:r>
        <w:rPr>
          <w:smallCaps/>
        </w:rPr>
        <w:t>Safe</w:t>
      </w:r>
      <w:r>
        <w:t xml:space="preserve"> mode. These include, but are not limited to, activation of command receipt and telemetry transmission capabilities, initiation of health and status telemetry transmissions and conducting instrument component warm-up/cool-down to nominal operational temperatures. The only transition possible into the </w:t>
      </w:r>
      <w:r>
        <w:rPr>
          <w:smallCaps/>
        </w:rPr>
        <w:t>Initialization</w:t>
      </w:r>
      <w:r>
        <w:t xml:space="preserve"> mode is from the </w:t>
      </w:r>
      <w:r>
        <w:rPr>
          <w:smallCaps/>
        </w:rPr>
        <w:t>Off/Survival</w:t>
      </w:r>
      <w:r>
        <w:t xml:space="preserve"> mode. Nominal transitions out of the </w:t>
      </w:r>
      <w:r>
        <w:rPr>
          <w:smallCaps/>
        </w:rPr>
        <w:t>Initialization</w:t>
      </w:r>
      <w:r>
        <w:t xml:space="preserve"> mode are into the </w:t>
      </w:r>
      <w:r>
        <w:rPr>
          <w:smallCaps/>
        </w:rPr>
        <w:t>Off/Survival</w:t>
      </w:r>
      <w:r>
        <w:t xml:space="preserve"> mode, the </w:t>
      </w:r>
      <w:r>
        <w:rPr>
          <w:smallCaps/>
        </w:rPr>
        <w:t>Safe</w:t>
      </w:r>
      <w:r>
        <w:t xml:space="preserve"> mode or the </w:t>
      </w:r>
      <w:r>
        <w:rPr>
          <w:smallCaps/>
        </w:rPr>
        <w:t>Operation</w:t>
      </w:r>
      <w:r>
        <w:t xml:space="preserve"> mode.</w:t>
      </w:r>
    </w:p>
    <w:p w14:paraId="268ABD2E" w14:textId="77777777" w:rsidR="00DB15E9" w:rsidRDefault="0078312E">
      <w:pPr>
        <w:pStyle w:val="ESSPBodyText"/>
      </w:pPr>
      <w:r>
        <w:t>Operation Mode</w:t>
      </w:r>
    </w:p>
    <w:p w14:paraId="338844EF" w14:textId="77777777" w:rsidR="00DB15E9" w:rsidRDefault="0078312E">
      <w:pPr>
        <w:pStyle w:val="ESSPBodyText"/>
      </w:pPr>
      <w:r>
        <w:t>The Instrument should have a single Operation mode during which all nominal Instrument operations occur. It is in this mode that science observations are made and associated data are collected and stored for transmission at the appropriate time in the operational timeline. Within the Operation mode, sub-modes may be defined that are specific to the particular operations of the Instrument (</w:t>
      </w:r>
      <w:r>
        <w:rPr>
          <w:i/>
        </w:rPr>
        <w:t>e.g.</w:t>
      </w:r>
      <w:r>
        <w:t xml:space="preserve"> Standby, Diagnostic, Measurement, etc.). When the Instrument is in the Operation mode, it should be capable of providing all health and status and science data originating within the Instrument for storage or to the Host Spacecraft for transmission to the ground operations team. Nominal transitions into the Operation mode are either from the Initialization mode or the Safe mode. Nominal transitions out of the Operation mode are into either the Off/Survival mode or the Safe mode.</w:t>
      </w:r>
    </w:p>
    <w:p w14:paraId="0DC959A5" w14:textId="77777777" w:rsidR="00DB15E9" w:rsidRDefault="0078312E">
      <w:pPr>
        <w:pStyle w:val="ESSPBodyText"/>
      </w:pPr>
      <w:r>
        <w:t>Safe Mode</w:t>
      </w:r>
    </w:p>
    <w:p w14:paraId="0080DA19" w14:textId="77777777" w:rsidR="00DB15E9" w:rsidRDefault="0078312E">
      <w:pPr>
        <w:pStyle w:val="ESSPBodyText"/>
      </w:pPr>
      <w:r>
        <w:t>The Instrument Safe mode is a combined Instrument hardware and software configuration that is intended to protect the Instrument from possible internal or external harm while using a minimum amount of Host Spacecraft resources (</w:t>
      </w:r>
      <w:r>
        <w:rPr>
          <w:i/>
        </w:rPr>
        <w:t>e.g.</w:t>
      </w:r>
      <w:r>
        <w:t xml:space="preserve"> power). When the Instrument is commanded into Safe mode, it should notify the Spacecraft after the transition into this mode has been completed. Once the Instrument is in Safe mode, the data collected and transmitted to the HPOC should be limited to health and status information only. Nominal transitions into the Safe mode are either from the Initialization mode or the Operation mode. Nominal transitions out of the Safe mode are into either the Off/Survival mode or the Operation mode.</w:t>
      </w:r>
    </w:p>
    <w:p w14:paraId="6A3BABAC" w14:textId="77777777" w:rsidR="00DB15E9" w:rsidRDefault="0078312E">
      <w:pPr>
        <w:pStyle w:val="AppendixOutlineLevel3"/>
      </w:pPr>
      <w:bookmarkStart w:id="433" w:name="_Toc471971540"/>
      <w:r>
        <w:lastRenderedPageBreak/>
        <w:t>Hosted Payload Commanding and Data Flow</w:t>
      </w:r>
      <w:bookmarkEnd w:id="433"/>
    </w:p>
    <w:p w14:paraId="0E35E757" w14:textId="77777777" w:rsidR="00DB15E9" w:rsidRDefault="0078312E">
      <w:pPr>
        <w:pStyle w:val="ESSPBodyText"/>
      </w:pPr>
      <w:r>
        <w:t xml:space="preserve">The reference architecture for a typical hosted payload mission is depicted in </w:t>
      </w:r>
      <w:r>
        <w:fldChar w:fldCharType="begin"/>
      </w:r>
      <w:r>
        <w:instrText xml:space="preserve"> REF _Ref471910392 \h </w:instrText>
      </w:r>
      <w:r>
        <w:fldChar w:fldCharType="separate"/>
      </w:r>
      <w:r>
        <w:t xml:space="preserve">Figure </w:t>
      </w:r>
      <w:r>
        <w:rPr>
          <w:noProof/>
        </w:rPr>
        <w:t>B</w:t>
      </w:r>
      <w:r>
        <w:noBreakHyphen/>
      </w:r>
      <w:r>
        <w:rPr>
          <w:noProof/>
        </w:rPr>
        <w:t>2</w:t>
      </w:r>
      <w:r>
        <w:fldChar w:fldCharType="end"/>
      </w:r>
      <w:r>
        <w:t xml:space="preserve"> below. Variations to this architecture may be implemented for specific missions depending on the mission specific requirements and associated payload concept of operations.</w:t>
      </w:r>
    </w:p>
    <w:p w14:paraId="44F8AB3A" w14:textId="77777777" w:rsidR="00DB15E9" w:rsidRDefault="0078312E">
      <w:pPr>
        <w:pStyle w:val="ESSPBodyText"/>
        <w:jc w:val="center"/>
      </w:pPr>
      <w:r>
        <w:rPr>
          <w:rFonts w:ascii="Arial" w:hAnsi="Arial" w:cs="Times New Roman"/>
          <w:b/>
          <w:noProof/>
          <w:kern w:val="28"/>
          <w:szCs w:val="20"/>
        </w:rPr>
        <w:drawing>
          <wp:inline distT="0" distB="0" distL="0" distR="0" wp14:anchorId="5E3551BC" wp14:editId="3E8D8259">
            <wp:extent cx="5943600" cy="3154680"/>
            <wp:effectExtent l="0" t="0" r="0" b="7620"/>
            <wp:docPr id="4" name="Picture 4" descr="HoPS CON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PS CONOP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inline>
        </w:drawing>
      </w:r>
    </w:p>
    <w:p w14:paraId="12CDB9DF" w14:textId="77777777" w:rsidR="00DB15E9" w:rsidRDefault="0078312E">
      <w:pPr>
        <w:pStyle w:val="Caption"/>
      </w:pPr>
      <w:bookmarkStart w:id="434" w:name="_Ref471910392"/>
      <w:bookmarkStart w:id="435" w:name="_Toc471911503"/>
      <w:r>
        <w:t>Figure B-</w:t>
      </w:r>
      <w:r w:rsidR="00BA5284">
        <w:fldChar w:fldCharType="begin"/>
      </w:r>
      <w:r w:rsidR="00BA5284">
        <w:instrText xml:space="preserve"> SEQ Figure_B- \* ARABIC </w:instrText>
      </w:r>
      <w:r w:rsidR="00BA5284">
        <w:fldChar w:fldCharType="separate"/>
      </w:r>
      <w:r>
        <w:rPr>
          <w:noProof/>
        </w:rPr>
        <w:t>2</w:t>
      </w:r>
      <w:r w:rsidR="00BA5284">
        <w:rPr>
          <w:noProof/>
        </w:rPr>
        <w:fldChar w:fldCharType="end"/>
      </w:r>
      <w:bookmarkEnd w:id="434"/>
      <w:r>
        <w:rPr>
          <w:rFonts w:ascii="Helvetica" w:hAnsi="Helvetica"/>
        </w:rPr>
        <w:t xml:space="preserve">: </w:t>
      </w:r>
      <w:r>
        <w:t>Notional Hosted Payload Mission Architecture</w:t>
      </w:r>
      <w:bookmarkEnd w:id="435"/>
    </w:p>
    <w:p w14:paraId="796065C4" w14:textId="77777777" w:rsidR="00DB15E9" w:rsidRDefault="0078312E">
      <w:pPr>
        <w:pStyle w:val="ESSPBodyText"/>
      </w:pPr>
      <w:r>
        <w:t>Several options are available to transport hosted payload command and telemetry data through the host satellite and the host’s ground data network depending on the required bandwidth of the payload data and the capability of the host TT&amp;C system.</w:t>
      </w:r>
      <w:r>
        <w:rPr>
          <w:rFonts w:ascii="Helvetica" w:hAnsi="Helvetica"/>
        </w:rPr>
        <w:t xml:space="preserve"> </w:t>
      </w:r>
    </w:p>
    <w:p w14:paraId="022D1488" w14:textId="77777777" w:rsidR="00DB15E9" w:rsidRDefault="0078312E">
      <w:pPr>
        <w:pStyle w:val="ESSPBodyText"/>
        <w:numPr>
          <w:ilvl w:val="0"/>
          <w:numId w:val="26"/>
        </w:numPr>
      </w:pPr>
      <w:r>
        <w:t>Command and control of the hosted payload can be implemented through a dedicated communications path (left figure) for high bandwidth payload data or through an embedded (right figure) link through the host Telemetry, Tracking, and Command (TT&amp;C) system if the payload data can be multiplexed within the host’s TT&amp;C systems,</w:t>
      </w:r>
    </w:p>
    <w:p w14:paraId="1679507E" w14:textId="77777777" w:rsidR="00DB15E9" w:rsidRDefault="0078312E">
      <w:pPr>
        <w:pStyle w:val="ESSPBodyText"/>
        <w:numPr>
          <w:ilvl w:val="0"/>
          <w:numId w:val="26"/>
        </w:numPr>
      </w:pPr>
      <w:r>
        <w:t>Transmission of payload data through the host spacecraft and ground segment to the Government’s POCC,</w:t>
      </w:r>
    </w:p>
    <w:p w14:paraId="4711B643" w14:textId="77777777" w:rsidR="00DB15E9" w:rsidRDefault="0078312E">
      <w:pPr>
        <w:pStyle w:val="ESSPBodyText"/>
        <w:numPr>
          <w:ilvl w:val="0"/>
          <w:numId w:val="26"/>
        </w:numPr>
      </w:pPr>
      <w:r>
        <w:t>Operations support by the commercial Spacecraft Operations Center (SOC) to the POCC will require coordinated operations plans that clearly define the support and coordination required and regularly updated to ensure the objectives of the commercial and hosted payload missions are satisfied,</w:t>
      </w:r>
    </w:p>
    <w:p w14:paraId="0D89F392" w14:textId="77777777" w:rsidR="00DB15E9" w:rsidRDefault="0078312E">
      <w:pPr>
        <w:pStyle w:val="ESSPBodyText"/>
      </w:pPr>
      <w:r>
        <w:t>These data flow options can support a variety of payload command and control approaches from all payload commanding performed at the POCC, a mix of commanding from both the POCC and the SOC, to all commanding to be provided by the commercial SOC.</w:t>
      </w:r>
      <w:r>
        <w:rPr>
          <w:rFonts w:ascii="Helvetica" w:hAnsi="Helvetica"/>
        </w:rPr>
        <w:t xml:space="preserve"> </w:t>
      </w:r>
      <w:r>
        <w:t xml:space="preserve">An appropriate approach </w:t>
      </w:r>
      <w:r>
        <w:lastRenderedPageBreak/>
        <w:t>should be selected based on the needs of the hosted payload and the capabilities of the host space and ground systems.</w:t>
      </w:r>
    </w:p>
    <w:p w14:paraId="0051E99B" w14:textId="77777777" w:rsidR="00DB15E9" w:rsidRDefault="0078312E">
      <w:pPr>
        <w:pStyle w:val="ESSPBodyText"/>
      </w:pPr>
      <w:r>
        <w:t>The reference mission architecture is intended to support different types of Government payload missions.</w:t>
      </w:r>
      <w:r>
        <w:rPr>
          <w:rFonts w:ascii="Helvetica" w:hAnsi="Helvetica"/>
        </w:rPr>
        <w:t xml:space="preserve"> </w:t>
      </w:r>
      <w:r>
        <w:t xml:space="preserve">This architecture provides payloads the flexibility to implement cost effective solutions for payload command and control that balance the needs of the payload with the capabilities available from the commercial host spacecraft and ground systems. </w:t>
      </w:r>
    </w:p>
    <w:p w14:paraId="617B904F" w14:textId="77777777" w:rsidR="00DB15E9" w:rsidRDefault="0078312E">
      <w:pPr>
        <w:pStyle w:val="Heading7"/>
      </w:pPr>
      <w:bookmarkStart w:id="436" w:name="_Toc471971541"/>
      <w:r>
        <w:rPr>
          <w:rFonts w:ascii="Helvetica" w:hAnsi="Helvetica"/>
        </w:rPr>
        <w:lastRenderedPageBreak/>
        <w:t>Analysis for LEO Guidelines</w:t>
      </w:r>
      <w:bookmarkEnd w:id="436"/>
    </w:p>
    <w:p w14:paraId="5C5C1EF6" w14:textId="77777777" w:rsidR="00DB15E9" w:rsidRDefault="0078312E">
      <w:pPr>
        <w:pStyle w:val="ESSPBodyText"/>
      </w:pPr>
      <w:r>
        <w:t>In order to provide Level 1 guidelines for future hosted payload instruments, we have examined the NASA Instrument Cost Model (NICM) remote sensing database to identify instrument characteristic parameters.</w:t>
      </w:r>
      <w:r>
        <w:rPr>
          <w:rFonts w:ascii="Helvetica" w:hAnsi="Helvetica"/>
        </w:rPr>
        <w:t xml:space="preserve"> </w:t>
      </w:r>
      <w:r>
        <w:t xml:space="preserve">The database has information on 102 different instruments that launched before 2009 from all four divisions of the Science Mission Directorate (SMD), as depicted in </w:t>
      </w:r>
      <w:r>
        <w:rPr>
          <w:rStyle w:val="ESSPBodyTextChar"/>
        </w:rPr>
        <w:t>Table C-1</w:t>
      </w:r>
      <w:r>
        <w:t>.</w:t>
      </w:r>
      <w:r>
        <w:rPr>
          <w:rFonts w:ascii="Helvetica" w:hAnsi="Helvetica"/>
        </w:rPr>
        <w:t xml:space="preserve"> </w:t>
      </w:r>
      <w:r>
        <w:t>There are two significant characteristics of the data set that limit its statistical power to draw conclusions about Earth Science instruments.</w:t>
      </w:r>
      <w:r>
        <w:rPr>
          <w:rFonts w:ascii="Helvetica" w:hAnsi="Helvetica"/>
        </w:rPr>
        <w:t xml:space="preserve"> </w:t>
      </w:r>
      <w:r>
        <w:t>The first is the small sample size of Earth Science instruments (</w:t>
      </w:r>
      <w:r>
        <w:rPr>
          <w:i/>
        </w:rPr>
        <w:t>n</w:t>
      </w:r>
      <w:r>
        <w:t>=28).</w:t>
      </w:r>
      <w:r>
        <w:rPr>
          <w:rFonts w:ascii="Helvetica" w:hAnsi="Helvetica"/>
        </w:rPr>
        <w:t xml:space="preserve"> </w:t>
      </w:r>
      <w:r>
        <w:t>The second is that since more than half of the NICM instruments are Planetary, which tend to be smaller overall, the data are skewed.</w:t>
      </w:r>
      <w:r>
        <w:rPr>
          <w:rFonts w:ascii="Helvetica" w:hAnsi="Helvetica"/>
        </w:rPr>
        <w:t xml:space="preserve"> </w:t>
      </w:r>
      <w:r>
        <w:t>Nonetheless, analyzing the entire 102-instrument set provides some useful insight.</w:t>
      </w:r>
    </w:p>
    <w:p w14:paraId="551C99AF" w14:textId="77777777" w:rsidR="00DB15E9" w:rsidRDefault="0078312E">
      <w:pPr>
        <w:pStyle w:val="ESSPTableCaption"/>
      </w:pPr>
      <w:bookmarkStart w:id="437" w:name="_Toc462209329"/>
      <w:bookmarkStart w:id="438" w:name="_Toc471971579"/>
      <w:r>
        <w:t xml:space="preserve">Table </w:t>
      </w:r>
      <w:r w:rsidR="00BA5284">
        <w:fldChar w:fldCharType="begin"/>
      </w:r>
      <w:r w:rsidR="00BA5284">
        <w:instrText xml:space="preserve"> STYLEREF 7 \s </w:instrText>
      </w:r>
      <w:r w:rsidR="00BA5284">
        <w:fldChar w:fldCharType="separate"/>
      </w:r>
      <w:r>
        <w:rPr>
          <w:noProof/>
        </w:rPr>
        <w:t>C</w:t>
      </w:r>
      <w:r w:rsidR="00BA5284">
        <w:rPr>
          <w:noProof/>
        </w:rPr>
        <w:fldChar w:fldCharType="end"/>
      </w:r>
      <w:r>
        <w:noBreakHyphen/>
      </w:r>
      <w:r w:rsidR="00BA5284">
        <w:fldChar w:fldCharType="begin"/>
      </w:r>
      <w:r w:rsidR="00BA5284">
        <w:instrText xml:space="preserve"> SEQ Table \* ARABIC \r 1 </w:instrText>
      </w:r>
      <w:r w:rsidR="00BA5284">
        <w:fldChar w:fldCharType="separate"/>
      </w:r>
      <w:r>
        <w:rPr>
          <w:noProof/>
        </w:rPr>
        <w:t>1</w:t>
      </w:r>
      <w:r w:rsidR="00BA5284">
        <w:rPr>
          <w:noProof/>
        </w:rPr>
        <w:fldChar w:fldCharType="end"/>
      </w:r>
      <w:r>
        <w:t>: Distribution of NICM Instruments Among Science Mission Directorate Divisions</w:t>
      </w:r>
      <w:bookmarkEnd w:id="437"/>
      <w:bookmarkEnd w:id="438"/>
    </w:p>
    <w:tbl>
      <w:tblPr>
        <w:tblStyle w:val="TableGrid8"/>
        <w:tblW w:w="7193" w:type="dxa"/>
        <w:jc w:val="center"/>
        <w:tblLayout w:type="fixed"/>
        <w:tblLook w:val="05E0" w:firstRow="1" w:lastRow="1" w:firstColumn="1" w:lastColumn="1" w:noHBand="0" w:noVBand="1"/>
      </w:tblPr>
      <w:tblGrid>
        <w:gridCol w:w="1870"/>
        <w:gridCol w:w="1310"/>
        <w:gridCol w:w="1523"/>
        <w:gridCol w:w="1576"/>
        <w:gridCol w:w="914"/>
      </w:tblGrid>
      <w:tr w:rsidR="00DB15E9" w14:paraId="0B132B2A" w14:textId="77777777" w:rsidTr="00DB15E9">
        <w:trPr>
          <w:cnfStyle w:val="100000000000" w:firstRow="1" w:lastRow="0" w:firstColumn="0" w:lastColumn="0" w:oddVBand="0" w:evenVBand="0" w:oddHBand="0" w:evenHBand="0" w:firstRowFirstColumn="0" w:firstRowLastColumn="0" w:lastRowFirstColumn="0" w:lastRowLastColumn="0"/>
          <w:trHeight w:val="65"/>
          <w:jc w:val="center"/>
        </w:trPr>
        <w:tc>
          <w:tcPr>
            <w:tcW w:w="1870" w:type="dxa"/>
            <w:hideMark/>
          </w:tcPr>
          <w:p w14:paraId="4540B201" w14:textId="77777777" w:rsidR="00DB15E9" w:rsidRDefault="0078312E">
            <w:pPr>
              <w:pStyle w:val="ESSPTableText"/>
              <w:rPr>
                <w:b w:val="0"/>
              </w:rPr>
            </w:pPr>
            <w:r>
              <w:t>SMD Division</w:t>
            </w:r>
          </w:p>
        </w:tc>
        <w:tc>
          <w:tcPr>
            <w:tcW w:w="1310" w:type="dxa"/>
            <w:hideMark/>
          </w:tcPr>
          <w:p w14:paraId="5DF9ABA0" w14:textId="77777777" w:rsidR="00DB15E9" w:rsidRDefault="0078312E">
            <w:pPr>
              <w:pStyle w:val="ESSPTableText"/>
              <w:rPr>
                <w:b w:val="0"/>
              </w:rPr>
            </w:pPr>
            <w:r>
              <w:t>Directed</w:t>
            </w:r>
          </w:p>
        </w:tc>
        <w:tc>
          <w:tcPr>
            <w:tcW w:w="1523" w:type="dxa"/>
            <w:hideMark/>
          </w:tcPr>
          <w:p w14:paraId="4E39FC1B" w14:textId="77777777" w:rsidR="00DB15E9" w:rsidRDefault="0078312E">
            <w:pPr>
              <w:pStyle w:val="ESSPTableText"/>
              <w:rPr>
                <w:b w:val="0"/>
              </w:rPr>
            </w:pPr>
            <w:r>
              <w:t>Competed</w:t>
            </w:r>
          </w:p>
        </w:tc>
        <w:tc>
          <w:tcPr>
            <w:tcW w:w="1576" w:type="dxa"/>
            <w:hideMark/>
          </w:tcPr>
          <w:p w14:paraId="21896FA0" w14:textId="77777777" w:rsidR="00DB15E9" w:rsidRDefault="0078312E">
            <w:pPr>
              <w:pStyle w:val="ESSPTableText"/>
              <w:rPr>
                <w:b w:val="0"/>
              </w:rPr>
            </w:pPr>
            <w:r>
              <w:t>Non-NASA</w:t>
            </w:r>
          </w:p>
        </w:tc>
        <w:tc>
          <w:tcPr>
            <w:cnfStyle w:val="000100000000" w:firstRow="0" w:lastRow="0" w:firstColumn="0" w:lastColumn="1" w:oddVBand="0" w:evenVBand="0" w:oddHBand="0" w:evenHBand="0" w:firstRowFirstColumn="0" w:firstRowLastColumn="0" w:lastRowFirstColumn="0" w:lastRowLastColumn="0"/>
            <w:tcW w:w="914" w:type="dxa"/>
          </w:tcPr>
          <w:p w14:paraId="308C2278" w14:textId="77777777" w:rsidR="00DB15E9" w:rsidRDefault="0078312E">
            <w:pPr>
              <w:pStyle w:val="ESSPTableText"/>
            </w:pPr>
            <w:r>
              <w:t>Total</w:t>
            </w:r>
          </w:p>
        </w:tc>
      </w:tr>
      <w:tr w:rsidR="00DB15E9" w14:paraId="0849115C" w14:textId="77777777" w:rsidTr="00DB15E9">
        <w:trPr>
          <w:trHeight w:val="65"/>
          <w:jc w:val="center"/>
        </w:trPr>
        <w:tc>
          <w:tcPr>
            <w:tcW w:w="1870" w:type="dxa"/>
            <w:hideMark/>
          </w:tcPr>
          <w:p w14:paraId="796BAE5D" w14:textId="77777777" w:rsidR="00DB15E9" w:rsidRDefault="0078312E">
            <w:pPr>
              <w:pStyle w:val="ESSPTableText"/>
            </w:pPr>
            <w:r>
              <w:t>Earth</w:t>
            </w:r>
          </w:p>
        </w:tc>
        <w:tc>
          <w:tcPr>
            <w:tcW w:w="1310" w:type="dxa"/>
            <w:hideMark/>
          </w:tcPr>
          <w:p w14:paraId="330D2A42" w14:textId="77777777" w:rsidR="00DB15E9" w:rsidRDefault="0078312E">
            <w:pPr>
              <w:pStyle w:val="ESSPTableText"/>
            </w:pPr>
            <w:r>
              <w:t>18</w:t>
            </w:r>
          </w:p>
        </w:tc>
        <w:tc>
          <w:tcPr>
            <w:tcW w:w="1523" w:type="dxa"/>
            <w:hideMark/>
          </w:tcPr>
          <w:p w14:paraId="1B1B0537" w14:textId="77777777" w:rsidR="00DB15E9" w:rsidRDefault="0078312E">
            <w:pPr>
              <w:pStyle w:val="ESSPTableText"/>
            </w:pPr>
            <w:r>
              <w:t>5</w:t>
            </w:r>
          </w:p>
        </w:tc>
        <w:tc>
          <w:tcPr>
            <w:tcW w:w="1576" w:type="dxa"/>
            <w:hideMark/>
          </w:tcPr>
          <w:p w14:paraId="76A3BD48" w14:textId="77777777" w:rsidR="00DB15E9" w:rsidRDefault="0078312E">
            <w:pPr>
              <w:pStyle w:val="ESSPTableText"/>
            </w:pPr>
            <w:r>
              <w:t>5</w:t>
            </w:r>
          </w:p>
        </w:tc>
        <w:tc>
          <w:tcPr>
            <w:cnfStyle w:val="000100000000" w:firstRow="0" w:lastRow="0" w:firstColumn="0" w:lastColumn="1" w:oddVBand="0" w:evenVBand="0" w:oddHBand="0" w:evenHBand="0" w:firstRowFirstColumn="0" w:firstRowLastColumn="0" w:lastRowFirstColumn="0" w:lastRowLastColumn="0"/>
            <w:tcW w:w="914" w:type="dxa"/>
          </w:tcPr>
          <w:p w14:paraId="02A17D1A" w14:textId="77777777" w:rsidR="00DB15E9" w:rsidRDefault="0078312E">
            <w:pPr>
              <w:pStyle w:val="ESSPTableText"/>
              <w:rPr>
                <w:b w:val="0"/>
              </w:rPr>
            </w:pPr>
            <w:r>
              <w:rPr>
                <w:b w:val="0"/>
              </w:rPr>
              <w:t>28</w:t>
            </w:r>
          </w:p>
        </w:tc>
      </w:tr>
      <w:tr w:rsidR="00DB15E9" w14:paraId="0E3CC5CE" w14:textId="77777777" w:rsidTr="00DB15E9">
        <w:trPr>
          <w:trHeight w:val="65"/>
          <w:jc w:val="center"/>
        </w:trPr>
        <w:tc>
          <w:tcPr>
            <w:tcW w:w="1870" w:type="dxa"/>
            <w:hideMark/>
          </w:tcPr>
          <w:p w14:paraId="762BB1C4" w14:textId="77777777" w:rsidR="00DB15E9" w:rsidRDefault="0078312E">
            <w:pPr>
              <w:pStyle w:val="ESSPTableText"/>
            </w:pPr>
            <w:r>
              <w:t>Planetary</w:t>
            </w:r>
          </w:p>
        </w:tc>
        <w:tc>
          <w:tcPr>
            <w:tcW w:w="1310" w:type="dxa"/>
            <w:hideMark/>
          </w:tcPr>
          <w:p w14:paraId="054F97A5" w14:textId="77777777" w:rsidR="00DB15E9" w:rsidRDefault="0078312E">
            <w:pPr>
              <w:pStyle w:val="ESSPTableText"/>
            </w:pPr>
            <w:r>
              <w:t>35</w:t>
            </w:r>
          </w:p>
        </w:tc>
        <w:tc>
          <w:tcPr>
            <w:tcW w:w="1523" w:type="dxa"/>
            <w:hideMark/>
          </w:tcPr>
          <w:p w14:paraId="59794B6A" w14:textId="77777777" w:rsidR="00DB15E9" w:rsidRDefault="0078312E">
            <w:pPr>
              <w:pStyle w:val="ESSPTableText"/>
            </w:pPr>
            <w:r>
              <w:t>18</w:t>
            </w:r>
          </w:p>
        </w:tc>
        <w:tc>
          <w:tcPr>
            <w:tcW w:w="1576" w:type="dxa"/>
            <w:hideMark/>
          </w:tcPr>
          <w:p w14:paraId="1D4EFD5F" w14:textId="77777777" w:rsidR="00DB15E9" w:rsidRDefault="0078312E">
            <w:pPr>
              <w:pStyle w:val="ESSPTableText"/>
            </w:pPr>
            <w:r>
              <w:t>1</w:t>
            </w:r>
          </w:p>
        </w:tc>
        <w:tc>
          <w:tcPr>
            <w:cnfStyle w:val="000100000000" w:firstRow="0" w:lastRow="0" w:firstColumn="0" w:lastColumn="1" w:oddVBand="0" w:evenVBand="0" w:oddHBand="0" w:evenHBand="0" w:firstRowFirstColumn="0" w:firstRowLastColumn="0" w:lastRowFirstColumn="0" w:lastRowLastColumn="0"/>
            <w:tcW w:w="914" w:type="dxa"/>
          </w:tcPr>
          <w:p w14:paraId="7A5AF382" w14:textId="77777777" w:rsidR="00DB15E9" w:rsidRDefault="0078312E">
            <w:pPr>
              <w:pStyle w:val="ESSPTableText"/>
              <w:rPr>
                <w:b w:val="0"/>
              </w:rPr>
            </w:pPr>
            <w:r>
              <w:rPr>
                <w:b w:val="0"/>
              </w:rPr>
              <w:t>54</w:t>
            </w:r>
          </w:p>
        </w:tc>
      </w:tr>
      <w:tr w:rsidR="00DB15E9" w14:paraId="29CD95D5" w14:textId="77777777" w:rsidTr="00DB15E9">
        <w:trPr>
          <w:trHeight w:val="65"/>
          <w:jc w:val="center"/>
        </w:trPr>
        <w:tc>
          <w:tcPr>
            <w:tcW w:w="1870" w:type="dxa"/>
            <w:hideMark/>
          </w:tcPr>
          <w:p w14:paraId="4C7D21D0" w14:textId="77777777" w:rsidR="00DB15E9" w:rsidRDefault="0078312E">
            <w:pPr>
              <w:pStyle w:val="ESSPTableText"/>
            </w:pPr>
            <w:r>
              <w:t>Heliophysics</w:t>
            </w:r>
          </w:p>
        </w:tc>
        <w:tc>
          <w:tcPr>
            <w:tcW w:w="1310" w:type="dxa"/>
            <w:hideMark/>
          </w:tcPr>
          <w:p w14:paraId="77870851" w14:textId="77777777" w:rsidR="00DB15E9" w:rsidRDefault="0078312E">
            <w:pPr>
              <w:pStyle w:val="ESSPTableText"/>
            </w:pPr>
            <w:r>
              <w:t>5</w:t>
            </w:r>
          </w:p>
        </w:tc>
        <w:tc>
          <w:tcPr>
            <w:tcW w:w="1523" w:type="dxa"/>
            <w:hideMark/>
          </w:tcPr>
          <w:p w14:paraId="125710E0" w14:textId="77777777" w:rsidR="00DB15E9" w:rsidRDefault="0078312E">
            <w:pPr>
              <w:pStyle w:val="ESSPTableText"/>
            </w:pPr>
            <w:r>
              <w:t>3</w:t>
            </w:r>
          </w:p>
        </w:tc>
        <w:tc>
          <w:tcPr>
            <w:tcW w:w="1576" w:type="dxa"/>
            <w:hideMark/>
          </w:tcPr>
          <w:p w14:paraId="312F282F" w14:textId="77777777" w:rsidR="00DB15E9" w:rsidRDefault="0078312E">
            <w:pPr>
              <w:pStyle w:val="ESSPTableText"/>
            </w:pPr>
            <w:r>
              <w:t>1</w:t>
            </w:r>
          </w:p>
        </w:tc>
        <w:tc>
          <w:tcPr>
            <w:cnfStyle w:val="000100000000" w:firstRow="0" w:lastRow="0" w:firstColumn="0" w:lastColumn="1" w:oddVBand="0" w:evenVBand="0" w:oddHBand="0" w:evenHBand="0" w:firstRowFirstColumn="0" w:firstRowLastColumn="0" w:lastRowFirstColumn="0" w:lastRowLastColumn="0"/>
            <w:tcW w:w="914" w:type="dxa"/>
          </w:tcPr>
          <w:p w14:paraId="79255F7F" w14:textId="77777777" w:rsidR="00DB15E9" w:rsidRDefault="0078312E">
            <w:pPr>
              <w:pStyle w:val="ESSPTableText"/>
              <w:rPr>
                <w:b w:val="0"/>
              </w:rPr>
            </w:pPr>
            <w:r>
              <w:rPr>
                <w:b w:val="0"/>
              </w:rPr>
              <w:t>9</w:t>
            </w:r>
          </w:p>
        </w:tc>
      </w:tr>
      <w:tr w:rsidR="00DB15E9" w14:paraId="120EAC46" w14:textId="77777777" w:rsidTr="00DB15E9">
        <w:trPr>
          <w:trHeight w:val="65"/>
          <w:jc w:val="center"/>
        </w:trPr>
        <w:tc>
          <w:tcPr>
            <w:tcW w:w="1870" w:type="dxa"/>
            <w:hideMark/>
          </w:tcPr>
          <w:p w14:paraId="4EF9C83F" w14:textId="77777777" w:rsidR="00DB15E9" w:rsidRDefault="0078312E">
            <w:pPr>
              <w:pStyle w:val="ESSPTableText"/>
            </w:pPr>
            <w:r>
              <w:t>Astrophysics</w:t>
            </w:r>
          </w:p>
        </w:tc>
        <w:tc>
          <w:tcPr>
            <w:tcW w:w="1310" w:type="dxa"/>
            <w:hideMark/>
          </w:tcPr>
          <w:p w14:paraId="5F83F7BF" w14:textId="77777777" w:rsidR="00DB15E9" w:rsidRDefault="0078312E">
            <w:pPr>
              <w:pStyle w:val="ESSPTableText"/>
            </w:pPr>
            <w:r>
              <w:t>10</w:t>
            </w:r>
          </w:p>
        </w:tc>
        <w:tc>
          <w:tcPr>
            <w:tcW w:w="1523" w:type="dxa"/>
            <w:hideMark/>
          </w:tcPr>
          <w:p w14:paraId="64C43293" w14:textId="77777777" w:rsidR="00DB15E9" w:rsidRDefault="0078312E">
            <w:pPr>
              <w:pStyle w:val="ESSPTableText"/>
            </w:pPr>
            <w:r>
              <w:t>1</w:t>
            </w:r>
          </w:p>
        </w:tc>
        <w:tc>
          <w:tcPr>
            <w:tcW w:w="1576" w:type="dxa"/>
            <w:hideMark/>
          </w:tcPr>
          <w:p w14:paraId="55D52996" w14:textId="77777777" w:rsidR="00DB15E9" w:rsidRDefault="0078312E">
            <w:pPr>
              <w:pStyle w:val="ESSPTableText"/>
            </w:pPr>
            <w:r>
              <w:t>0</w:t>
            </w:r>
          </w:p>
        </w:tc>
        <w:tc>
          <w:tcPr>
            <w:cnfStyle w:val="000100000000" w:firstRow="0" w:lastRow="0" w:firstColumn="0" w:lastColumn="1" w:oddVBand="0" w:evenVBand="0" w:oddHBand="0" w:evenHBand="0" w:firstRowFirstColumn="0" w:firstRowLastColumn="0" w:lastRowFirstColumn="0" w:lastRowLastColumn="0"/>
            <w:tcW w:w="914" w:type="dxa"/>
          </w:tcPr>
          <w:p w14:paraId="6DA946D1" w14:textId="77777777" w:rsidR="00DB15E9" w:rsidRDefault="0078312E">
            <w:pPr>
              <w:pStyle w:val="ESSPTableText"/>
              <w:rPr>
                <w:b w:val="0"/>
              </w:rPr>
            </w:pPr>
            <w:r>
              <w:rPr>
                <w:b w:val="0"/>
              </w:rPr>
              <w:t>11</w:t>
            </w:r>
          </w:p>
        </w:tc>
      </w:tr>
      <w:tr w:rsidR="00DB15E9" w14:paraId="30D5385A" w14:textId="77777777" w:rsidTr="00DB15E9">
        <w:trPr>
          <w:cnfStyle w:val="010000000000" w:firstRow="0" w:lastRow="1" w:firstColumn="0" w:lastColumn="0" w:oddVBand="0" w:evenVBand="0" w:oddHBand="0" w:evenHBand="0" w:firstRowFirstColumn="0" w:firstRowLastColumn="0" w:lastRowFirstColumn="0" w:lastRowLastColumn="0"/>
          <w:trHeight w:val="65"/>
          <w:jc w:val="center"/>
        </w:trPr>
        <w:tc>
          <w:tcPr>
            <w:tcW w:w="1870" w:type="dxa"/>
            <w:hideMark/>
          </w:tcPr>
          <w:p w14:paraId="57F3C615" w14:textId="77777777" w:rsidR="00DB15E9" w:rsidRDefault="0078312E">
            <w:pPr>
              <w:pStyle w:val="ESSPTableText"/>
              <w:rPr>
                <w:b w:val="0"/>
              </w:rPr>
            </w:pPr>
            <w:r>
              <w:t>Total</w:t>
            </w:r>
          </w:p>
        </w:tc>
        <w:tc>
          <w:tcPr>
            <w:tcW w:w="1310" w:type="dxa"/>
            <w:hideMark/>
          </w:tcPr>
          <w:p w14:paraId="3E02E680" w14:textId="77777777" w:rsidR="00DB15E9" w:rsidRDefault="0078312E">
            <w:pPr>
              <w:pStyle w:val="ESSPTableText"/>
            </w:pPr>
            <w:r>
              <w:t>68</w:t>
            </w:r>
          </w:p>
        </w:tc>
        <w:tc>
          <w:tcPr>
            <w:tcW w:w="1523" w:type="dxa"/>
            <w:hideMark/>
          </w:tcPr>
          <w:p w14:paraId="1051924C" w14:textId="77777777" w:rsidR="00DB15E9" w:rsidRDefault="0078312E">
            <w:pPr>
              <w:pStyle w:val="ESSPTableText"/>
            </w:pPr>
            <w:r>
              <w:t>27</w:t>
            </w:r>
          </w:p>
        </w:tc>
        <w:tc>
          <w:tcPr>
            <w:tcW w:w="1576" w:type="dxa"/>
            <w:hideMark/>
          </w:tcPr>
          <w:p w14:paraId="24662043" w14:textId="77777777" w:rsidR="00DB15E9" w:rsidRDefault="0078312E">
            <w:pPr>
              <w:pStyle w:val="ESSPTableText"/>
            </w:pPr>
            <w:r>
              <w:t>7</w:t>
            </w:r>
          </w:p>
        </w:tc>
        <w:tc>
          <w:tcPr>
            <w:cnfStyle w:val="000100000000" w:firstRow="0" w:lastRow="0" w:firstColumn="0" w:lastColumn="1" w:oddVBand="0" w:evenVBand="0" w:oddHBand="0" w:evenHBand="0" w:firstRowFirstColumn="0" w:firstRowLastColumn="0" w:lastRowFirstColumn="0" w:lastRowLastColumn="0"/>
            <w:tcW w:w="914" w:type="dxa"/>
          </w:tcPr>
          <w:p w14:paraId="7CF07C15" w14:textId="77777777" w:rsidR="00DB15E9" w:rsidRDefault="0078312E">
            <w:pPr>
              <w:pStyle w:val="ESSPTableText"/>
            </w:pPr>
            <w:r>
              <w:t>102</w:t>
            </w:r>
          </w:p>
        </w:tc>
      </w:tr>
    </w:tbl>
    <w:p w14:paraId="7EDF9EF2" w14:textId="77777777" w:rsidR="00DB15E9" w:rsidRDefault="0078312E">
      <w:pPr>
        <w:pStyle w:val="ESSPBodyText"/>
        <w:spacing w:before="120"/>
      </w:pPr>
      <w:r>
        <w:t>In analyzing the data, one may easily conclude that the development cost of an instrument is a function of multiple parameters such as: mass, power, data rate, year built, SMD division and acquisition strategy.</w:t>
      </w:r>
      <w:r>
        <w:rPr>
          <w:rFonts w:ascii="Helvetica" w:hAnsi="Helvetica"/>
        </w:rPr>
        <w:t xml:space="preserve"> </w:t>
      </w:r>
      <w:r>
        <w:t>With further analysis, it is clear that these parameters are not independent of each other and are implicitly functions of mass.</w:t>
      </w:r>
      <w:r>
        <w:rPr>
          <w:rFonts w:ascii="Helvetica" w:hAnsi="Helvetica"/>
        </w:rPr>
        <w:t xml:space="preserve"> </w:t>
      </w:r>
      <w:r>
        <w:t>For example, Planetary Science instruments tend to be smaller than Earth Science instruments, and competed instruments tend to be smaller than their directed counterparts.</w:t>
      </w:r>
      <w:r>
        <w:rPr>
          <w:rFonts w:ascii="Helvetica" w:hAnsi="Helvetica"/>
        </w:rPr>
        <w:t xml:space="preserve"> </w:t>
      </w:r>
      <w:r>
        <w:t>As technology improves with time, the instruments get smaller and more capable.</w:t>
      </w:r>
      <w:r>
        <w:rPr>
          <w:rFonts w:ascii="Helvetica" w:hAnsi="Helvetica"/>
        </w:rPr>
        <w:t xml:space="preserve"> </w:t>
      </w:r>
      <w:r>
        <w:t xml:space="preserve">With this information, we have plotted the instrument cost as a function of mass as shown in </w:t>
      </w:r>
      <w:r>
        <w:rPr>
          <w:rStyle w:val="ESSPBodyTextChar"/>
        </w:rPr>
        <w:t>Figure C-1</w:t>
      </w:r>
      <w:r>
        <w:t>.</w:t>
      </w:r>
    </w:p>
    <w:p w14:paraId="63E1AA57" w14:textId="77777777" w:rsidR="00DB15E9" w:rsidRDefault="0078312E">
      <w:pPr>
        <w:pStyle w:val="ESSPFigure"/>
        <w:rPr>
          <w:rFonts w:ascii="Helvetica" w:hAnsi="Helvetica"/>
          <w:noProof w:val="0"/>
        </w:rPr>
      </w:pPr>
      <w:r>
        <w:rPr>
          <w:rFonts w:ascii="Helvetica" w:hAnsi="Helvetica"/>
        </w:rPr>
        <w:lastRenderedPageBreak/>
        <w:drawing>
          <wp:inline distT="0" distB="0" distL="0" distR="0" wp14:anchorId="55CE5D22" wp14:editId="68D7C228">
            <wp:extent cx="5943600" cy="3200400"/>
            <wp:effectExtent l="0" t="0" r="19050" b="1905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350B255" w14:textId="77777777" w:rsidR="00DB15E9" w:rsidRDefault="0078312E">
      <w:pPr>
        <w:pStyle w:val="Caption"/>
        <w:rPr>
          <w:rFonts w:ascii="Times New Roman" w:hAnsi="Times New Roman"/>
        </w:rPr>
      </w:pPr>
      <w:bookmarkStart w:id="439" w:name="_Toc462209352"/>
      <w:bookmarkStart w:id="440" w:name="_Toc471971600"/>
      <w:bookmarkStart w:id="441" w:name="_Toc471971704"/>
      <w:r>
        <w:t>Figure C-</w:t>
      </w:r>
      <w:r w:rsidR="00BA5284">
        <w:fldChar w:fldCharType="begin"/>
      </w:r>
      <w:r w:rsidR="00BA5284">
        <w:instrText xml:space="preserve"> SEQ Figure_C- \* ARABIC </w:instrText>
      </w:r>
      <w:r w:rsidR="00BA5284">
        <w:fldChar w:fldCharType="separate"/>
      </w:r>
      <w:r>
        <w:rPr>
          <w:noProof/>
        </w:rPr>
        <w:t>1</w:t>
      </w:r>
      <w:r w:rsidR="00BA5284">
        <w:rPr>
          <w:noProof/>
        </w:rPr>
        <w:fldChar w:fldCharType="end"/>
      </w:r>
      <w:r>
        <w:rPr>
          <w:rFonts w:ascii="Helvetica" w:hAnsi="Helvetica"/>
        </w:rPr>
        <w:t>:</w:t>
      </w:r>
      <w:r>
        <w:t xml:space="preserve"> </w:t>
      </w:r>
      <w:r>
        <w:rPr>
          <w:rFonts w:ascii="Helvetica" w:hAnsi="Helvetica"/>
        </w:rPr>
        <w:t>Instrument Mass vs. Development Cost</w:t>
      </w:r>
      <w:bookmarkEnd w:id="439"/>
      <w:bookmarkEnd w:id="440"/>
      <w:bookmarkEnd w:id="441"/>
    </w:p>
    <w:p w14:paraId="29D641D8" w14:textId="77777777" w:rsidR="00DB15E9" w:rsidRDefault="0078312E">
      <w:pPr>
        <w:pStyle w:val="ESSPBodyText"/>
        <w:rPr>
          <w:rFonts w:asciiTheme="majorHAnsi" w:hAnsiTheme="majorHAnsi" w:cstheme="majorHAnsi"/>
        </w:rPr>
      </w:pPr>
      <w:r>
        <w:t xml:space="preserve">In further examination of the data, specifically the Earth Science instruments that are outside the ellipse in </w:t>
      </w:r>
      <w:r>
        <w:rPr>
          <w:rStyle w:val="ESSPBodyTextChar"/>
        </w:rPr>
        <w:t>Figure C-1</w:t>
      </w:r>
      <w:r>
        <w:t>, the specific instrument details indicate that they were primary instruments that drove the mission requirements.</w:t>
      </w:r>
      <w:r>
        <w:rPr>
          <w:rFonts w:ascii="Helvetica" w:hAnsi="Helvetica"/>
        </w:rPr>
        <w:t xml:space="preserve"> </w:t>
      </w:r>
      <w:r>
        <w:t>This is certainly the case for the Aura mission with the MLS and TES instruments.</w:t>
      </w:r>
      <w:r>
        <w:rPr>
          <w:rFonts w:ascii="Helvetica" w:hAnsi="Helvetica"/>
        </w:rPr>
        <w:t xml:space="preserve"> </w:t>
      </w:r>
      <w:r>
        <w:t xml:space="preserve">Given that this document deals with instruments that are </w:t>
      </w:r>
      <w:r>
        <w:rPr>
          <w:b/>
          <w:i/>
        </w:rPr>
        <w:t>classified as hosted payloads</w:t>
      </w:r>
      <w:r>
        <w:t xml:space="preserve"> without knowledge of what mission or spacecraft they will be paired with, the CII WG </w:t>
      </w:r>
      <w:r>
        <w:rPr>
          <w:b/>
          <w:i/>
        </w:rPr>
        <w:t>allocates 100 kg for the Level 1 mass guideline.</w:t>
      </w:r>
      <w:r>
        <w:rPr>
          <w:rFonts w:ascii="Helvetica" w:hAnsi="Helvetica"/>
        </w:rPr>
        <w:t xml:space="preserve"> </w:t>
      </w:r>
      <w:r>
        <w:t xml:space="preserve">Therefore, every effort should be made to keep the mass to less than 100 kg to </w:t>
      </w:r>
      <w:r>
        <w:rPr>
          <w:rFonts w:asciiTheme="majorHAnsi" w:hAnsiTheme="majorHAnsi" w:cstheme="majorHAnsi"/>
        </w:rPr>
        <w:t>increase the probability of pairing with an HPO.</w:t>
      </w:r>
    </w:p>
    <w:p w14:paraId="1BA8C294" w14:textId="77777777" w:rsidR="00DB15E9" w:rsidRDefault="0078312E">
      <w:pPr>
        <w:pStyle w:val="ESSPBodyText"/>
        <w:rPr>
          <w:b/>
          <w:i/>
        </w:rPr>
      </w:pPr>
      <w:r>
        <w:rPr>
          <w:rStyle w:val="ESSPBodyTextChar"/>
        </w:rPr>
        <w:t>Figure C-2</w:t>
      </w:r>
      <w:r>
        <w:rPr>
          <w:rFonts w:asciiTheme="majorHAnsi" w:hAnsiTheme="majorHAnsi" w:cstheme="majorHAnsi"/>
        </w:rPr>
        <w:t xml:space="preserve"> shows the relationship between power and mass. The power consumed by an instrument is also approximately linearly correlated to the mass of the instrumen</w:t>
      </w:r>
      <w:r>
        <w:t>t.</w:t>
      </w:r>
      <w:r>
        <w:rPr>
          <w:rFonts w:asciiTheme="majorHAnsi" w:hAnsiTheme="majorHAnsi" w:cstheme="majorHAnsi"/>
        </w:rPr>
        <w:t xml:space="preserve"> </w:t>
      </w:r>
      <w:r>
        <w:t xml:space="preserve">On this basis, </w:t>
      </w:r>
      <w:r>
        <w:rPr>
          <w:b/>
          <w:i/>
        </w:rPr>
        <w:t xml:space="preserve">we allocate 100 W for the Level 1 power guideline </w:t>
      </w:r>
      <w:r>
        <w:t>for a 100 kg instrument.</w:t>
      </w:r>
    </w:p>
    <w:p w14:paraId="343D69B4" w14:textId="77777777" w:rsidR="00DB15E9" w:rsidRDefault="0078312E">
      <w:pPr>
        <w:pStyle w:val="ESSPFigure"/>
        <w:jc w:val="left"/>
        <w:rPr>
          <w:rFonts w:ascii="Helvetica" w:hAnsi="Helvetica"/>
          <w:noProof w:val="0"/>
        </w:rPr>
      </w:pPr>
      <w:r>
        <w:rPr>
          <w:rFonts w:ascii="Helvetica" w:hAnsi="Helvetica"/>
        </w:rPr>
        <w:lastRenderedPageBreak/>
        <w:drawing>
          <wp:inline distT="0" distB="0" distL="0" distR="0" wp14:anchorId="38406C72" wp14:editId="1A8D2B2E">
            <wp:extent cx="5943600" cy="3200400"/>
            <wp:effectExtent l="0" t="0" r="19050" b="1905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0CF23D" w14:textId="77777777" w:rsidR="00DB15E9" w:rsidRDefault="0078312E">
      <w:pPr>
        <w:pStyle w:val="Caption"/>
        <w:rPr>
          <w:rFonts w:ascii="Times New Roman" w:hAnsi="Times New Roman"/>
        </w:rPr>
      </w:pPr>
      <w:bookmarkStart w:id="442" w:name="_Toc462209353"/>
      <w:bookmarkStart w:id="443" w:name="_Toc471971601"/>
      <w:bookmarkStart w:id="444" w:name="_Toc471971705"/>
      <w:r>
        <w:t>Figure C-</w:t>
      </w:r>
      <w:r w:rsidR="00BA5284">
        <w:fldChar w:fldCharType="begin"/>
      </w:r>
      <w:r w:rsidR="00BA5284">
        <w:instrText xml:space="preserve"> SEQ Figure_C- \* ARABIC </w:instrText>
      </w:r>
      <w:r w:rsidR="00BA5284">
        <w:fldChar w:fldCharType="separate"/>
      </w:r>
      <w:r>
        <w:rPr>
          <w:noProof/>
        </w:rPr>
        <w:t>2</w:t>
      </w:r>
      <w:r w:rsidR="00BA5284">
        <w:rPr>
          <w:noProof/>
        </w:rPr>
        <w:fldChar w:fldCharType="end"/>
      </w:r>
      <w:r>
        <w:rPr>
          <w:rFonts w:ascii="Helvetica" w:hAnsi="Helvetica"/>
        </w:rPr>
        <w:t>:</w:t>
      </w:r>
      <w:r>
        <w:t xml:space="preserve"> </w:t>
      </w:r>
      <w:r>
        <w:rPr>
          <w:rFonts w:ascii="Helvetica" w:hAnsi="Helvetica"/>
        </w:rPr>
        <w:t>Power as a Function of Mass</w:t>
      </w:r>
      <w:bookmarkEnd w:id="442"/>
      <w:bookmarkEnd w:id="443"/>
      <w:bookmarkEnd w:id="444"/>
    </w:p>
    <w:p w14:paraId="12B5CB74" w14:textId="77777777" w:rsidR="00DB15E9" w:rsidRDefault="0078312E">
      <w:pPr>
        <w:pStyle w:val="ESSPBodyText"/>
      </w:pPr>
      <w:r>
        <w:t>As stated earlier, instruments over time have become smaller</w:t>
      </w:r>
      <w:r>
        <w:rPr>
          <w:rFonts w:asciiTheme="majorHAnsi" w:hAnsiTheme="majorHAnsi" w:cstheme="majorHAnsi"/>
        </w:rPr>
        <w:t xml:space="preserve"> and more capable. Specifically, in Earth Science instruments this translates into generating more and more data. </w:t>
      </w:r>
      <w:r>
        <w:rPr>
          <w:rStyle w:val="ESSPBodyTextChar"/>
        </w:rPr>
        <w:t>Figure C-3</w:t>
      </w:r>
      <w:r>
        <w:rPr>
          <w:rFonts w:asciiTheme="majorHAnsi" w:hAnsiTheme="majorHAnsi" w:cstheme="majorHAnsi"/>
        </w:rPr>
        <w:t xml:space="preserve"> shows the data rates for all SMD instruments. This graph indicates t</w:t>
      </w:r>
      <w:r>
        <w:t>hat the data rate has increased by about an order of magnitude over two decades.</w:t>
      </w:r>
      <w:r>
        <w:rPr>
          <w:rFonts w:asciiTheme="majorHAnsi" w:hAnsiTheme="majorHAnsi" w:cstheme="majorHAnsi"/>
        </w:rPr>
        <w:t xml:space="preserve"> </w:t>
      </w:r>
      <w:r>
        <w:t xml:space="preserve">Based upon this observation </w:t>
      </w:r>
      <w:r>
        <w:rPr>
          <w:b/>
          <w:bCs/>
          <w:i/>
          <w:iCs/>
        </w:rPr>
        <w:t xml:space="preserve">we set the Level 1 data rate guideline at 10 Mbps, </w:t>
      </w:r>
      <w:r>
        <w:rPr>
          <w:bCs/>
          <w:iCs/>
        </w:rPr>
        <w:t xml:space="preserve">although </w:t>
      </w:r>
      <w:r>
        <w:t>some instruments may generate more than 10 Mbps.</w:t>
      </w:r>
      <w:r>
        <w:rPr>
          <w:rFonts w:asciiTheme="majorHAnsi" w:hAnsiTheme="majorHAnsi" w:cstheme="majorHAnsi"/>
        </w:rPr>
        <w:t xml:space="preserve"> </w:t>
      </w:r>
      <w:r>
        <w:t>This implies that the instruments should have the capability of on-board data analysis and or data compression or the capability of fractional time data collection.</w:t>
      </w:r>
      <w:r>
        <w:rPr>
          <w:rFonts w:asciiTheme="majorHAnsi" w:hAnsiTheme="majorHAnsi" w:cstheme="majorHAnsi"/>
        </w:rPr>
        <w:t xml:space="preserve"> </w:t>
      </w:r>
      <w:r>
        <w:t>This clearly illustrates the need to pair an Instrument to a compatible HPO as early as possible.</w:t>
      </w:r>
      <w:r>
        <w:rPr>
          <w:rFonts w:asciiTheme="majorHAnsi" w:hAnsiTheme="majorHAnsi" w:cstheme="majorHAnsi"/>
        </w:rPr>
        <w:t xml:space="preserve"> </w:t>
      </w:r>
      <w:r>
        <w:t>As with all guidelines contained within this document, once the instrument is paired with an HPO, the agreement between the two will supersede these guidelines.</w:t>
      </w:r>
    </w:p>
    <w:p w14:paraId="634AEAF1" w14:textId="77777777" w:rsidR="00DB15E9" w:rsidRDefault="0078312E">
      <w:pPr>
        <w:pStyle w:val="ESSPFigure"/>
      </w:pPr>
      <w:r>
        <w:rPr>
          <w:rFonts w:ascii="Helvetica" w:hAnsi="Helvetica"/>
        </w:rPr>
        <w:lastRenderedPageBreak/>
        <w:drawing>
          <wp:inline distT="0" distB="0" distL="0" distR="0" wp14:anchorId="34BE4E6A" wp14:editId="03D31606">
            <wp:extent cx="5947954" cy="2838994"/>
            <wp:effectExtent l="0" t="0" r="15240" b="1905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C241C88" w14:textId="77777777" w:rsidR="00DB15E9" w:rsidRDefault="0078312E">
      <w:pPr>
        <w:pStyle w:val="Caption"/>
        <w:rPr>
          <w:rFonts w:ascii="Helvetica" w:hAnsi="Helvetica"/>
        </w:rPr>
      </w:pPr>
      <w:bookmarkStart w:id="445" w:name="_Toc462209354"/>
      <w:bookmarkStart w:id="446" w:name="_Toc471971602"/>
      <w:bookmarkStart w:id="447" w:name="_Toc471971706"/>
      <w:r>
        <w:t>Figure C-</w:t>
      </w:r>
      <w:r w:rsidR="00BA5284">
        <w:fldChar w:fldCharType="begin"/>
      </w:r>
      <w:r w:rsidR="00BA5284">
        <w:instrText xml:space="preserve"> SEQ Figure_C- \* ARABIC </w:instrText>
      </w:r>
      <w:r w:rsidR="00BA5284">
        <w:fldChar w:fldCharType="separate"/>
      </w:r>
      <w:r>
        <w:rPr>
          <w:noProof/>
        </w:rPr>
        <w:t>3</w:t>
      </w:r>
      <w:r w:rsidR="00BA5284">
        <w:rPr>
          <w:noProof/>
        </w:rPr>
        <w:fldChar w:fldCharType="end"/>
      </w:r>
      <w:r>
        <w:rPr>
          <w:rFonts w:ascii="Helvetica" w:hAnsi="Helvetica"/>
        </w:rPr>
        <w:t>:</w:t>
      </w:r>
      <w:r>
        <w:t xml:space="preserve"> Trend of Mean Instrument Data Rates</w:t>
      </w:r>
      <w:bookmarkEnd w:id="445"/>
      <w:bookmarkEnd w:id="446"/>
      <w:bookmarkEnd w:id="447"/>
    </w:p>
    <w:p w14:paraId="20676659" w14:textId="77777777" w:rsidR="00DB15E9" w:rsidRDefault="0078312E">
      <w:pPr>
        <w:pStyle w:val="ESSPBodyText"/>
      </w:pPr>
      <w:r>
        <w:t>Categorization of the instruments as hosted payloads implies that these instruments have a mission risk level of C as defined in NPR 8705.4.</w:t>
      </w:r>
      <w:r>
        <w:rPr>
          <w:rFonts w:asciiTheme="majorHAnsi" w:hAnsiTheme="majorHAnsi" w:cstheme="majorHAnsi"/>
        </w:rPr>
        <w:t xml:space="preserve"> </w:t>
      </w:r>
      <w:r>
        <w:t>This in turn defines the 2-year operational life and software classification.</w:t>
      </w:r>
    </w:p>
    <w:p w14:paraId="39CE2F1C" w14:textId="77777777" w:rsidR="00DB15E9" w:rsidRDefault="00DB15E9">
      <w:pPr>
        <w:pStyle w:val="AppendixOutlineLevel3"/>
        <w:numPr>
          <w:ilvl w:val="0"/>
          <w:numId w:val="0"/>
        </w:numPr>
      </w:pPr>
    </w:p>
    <w:p w14:paraId="35F229A7" w14:textId="77777777" w:rsidR="00DB15E9" w:rsidRDefault="0078312E">
      <w:pPr>
        <w:pStyle w:val="Heading7"/>
      </w:pPr>
      <w:bookmarkStart w:id="448" w:name="_Toc471971542"/>
      <w:r>
        <w:lastRenderedPageBreak/>
        <w:t>Analysis for LEO Guidelines</w:t>
      </w:r>
      <w:bookmarkEnd w:id="426"/>
      <w:bookmarkEnd w:id="427"/>
      <w:bookmarkEnd w:id="428"/>
      <w:bookmarkEnd w:id="448"/>
    </w:p>
    <w:p w14:paraId="2634B566" w14:textId="77777777" w:rsidR="00DB15E9" w:rsidRDefault="0078312E">
      <w:pPr>
        <w:pStyle w:val="ESSPBodyText"/>
      </w:pPr>
      <w:r>
        <w:t xml:space="preserve">In order to provide Level 1 guidelines for future hosted payload instruments, we have examined the NASA Instrument Cost Model (NICM) remote sensing database to identify instrument characteristic parameters. The database has information on 102 different instruments that launched before 2009 from all four divisions of the Science Mission Directorate (SMD), as depicted in </w:t>
      </w:r>
      <w:r>
        <w:rPr>
          <w:rStyle w:val="ESSPBodyTextChar"/>
        </w:rPr>
        <w:t>Table D-1</w:t>
      </w:r>
      <w:r>
        <w:t>. There are two significant characteristics of the data set that limit its statistical power to draw conclusions about Earth Science instruments. The first is the small sample size of Earth Science instruments (</w:t>
      </w:r>
      <w:r>
        <w:rPr>
          <w:i/>
        </w:rPr>
        <w:t>n</w:t>
      </w:r>
      <w:r>
        <w:t>=28). The second is that since more than half of the NICM instruments are Planetary, which tend to be smaller overall, the data are skewed. Nonetheless, analyzing the entire 102-instrument set provides some useful insight.</w:t>
      </w:r>
    </w:p>
    <w:p w14:paraId="4F1FD9B4" w14:textId="77777777" w:rsidR="00DB15E9" w:rsidRDefault="0078312E">
      <w:pPr>
        <w:pStyle w:val="ESSPBodyText"/>
      </w:pPr>
      <w:r>
        <w:t xml:space="preserve">In analyzing the data, one may easily conclude that the development cost of an instrument is a function of multiple parameters such as: mass, power, data rate, year built, SMD division and acquisition strategy. With further analysis, it is clear that these parameters are not independent of each other and are implicitly functions of mass. For example, Planetary Science instruments tend to be smaller than Earth Science instruments, and competed instruments tend to be smaller than their directed counterparts. As technology improves with time, the instruments get smaller and more capable. With this information, we have plotted the instrument cost as a function of mass as shown in </w:t>
      </w:r>
      <w:r>
        <w:rPr>
          <w:rStyle w:val="ESSPBodyTextChar"/>
        </w:rPr>
        <w:t>Figure D-1</w:t>
      </w:r>
      <w:r>
        <w:t>.</w:t>
      </w:r>
    </w:p>
    <w:p w14:paraId="13EFAB74" w14:textId="77777777" w:rsidR="00DB15E9" w:rsidRDefault="0078312E">
      <w:pPr>
        <w:pStyle w:val="ESSPFigure"/>
        <w:rPr>
          <w:rFonts w:ascii="Helvetica" w:hAnsi="Helvetica"/>
          <w:noProof w:val="0"/>
        </w:rPr>
      </w:pPr>
      <w:r>
        <w:rPr>
          <w:rFonts w:ascii="Helvetica" w:hAnsi="Helvetica"/>
        </w:rPr>
        <w:drawing>
          <wp:inline distT="0" distB="0" distL="0" distR="0" wp14:anchorId="54008BAA" wp14:editId="33FAEE65">
            <wp:extent cx="5943600" cy="3200400"/>
            <wp:effectExtent l="0" t="0" r="19050" b="19050"/>
            <wp:docPr id="1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C914B8B" w14:textId="77777777" w:rsidR="00DB15E9" w:rsidRDefault="0078312E">
      <w:pPr>
        <w:pStyle w:val="Caption"/>
        <w:rPr>
          <w:rFonts w:ascii="Times New Roman" w:hAnsi="Times New Roman"/>
        </w:rPr>
      </w:pPr>
      <w:bookmarkStart w:id="449" w:name="_Toc326129365"/>
      <w:bookmarkStart w:id="450" w:name="_Toc453061560"/>
      <w:bookmarkStart w:id="451" w:name="_Toc471911511"/>
      <w:r>
        <w:t>Figure D-</w:t>
      </w:r>
      <w:r w:rsidR="00BA5284">
        <w:fldChar w:fldCharType="begin"/>
      </w:r>
      <w:r w:rsidR="00BA5284">
        <w:instrText xml:space="preserve"> SEQ Figure_D- \* ARABIC </w:instrText>
      </w:r>
      <w:r w:rsidR="00BA5284">
        <w:fldChar w:fldCharType="separate"/>
      </w:r>
      <w:r>
        <w:rPr>
          <w:noProof/>
        </w:rPr>
        <w:t>1</w:t>
      </w:r>
      <w:r w:rsidR="00BA5284">
        <w:rPr>
          <w:noProof/>
        </w:rPr>
        <w:fldChar w:fldCharType="end"/>
      </w:r>
      <w:r>
        <w:rPr>
          <w:rFonts w:ascii="Helvetica" w:hAnsi="Helvetica"/>
        </w:rPr>
        <w:t>:</w:t>
      </w:r>
      <w:r>
        <w:t xml:space="preserve"> </w:t>
      </w:r>
      <w:r>
        <w:rPr>
          <w:rFonts w:ascii="Helvetica" w:hAnsi="Helvetica"/>
        </w:rPr>
        <w:t>Instrument Mass vs. Development Cost</w:t>
      </w:r>
      <w:bookmarkEnd w:id="449"/>
      <w:bookmarkEnd w:id="450"/>
      <w:bookmarkEnd w:id="451"/>
    </w:p>
    <w:p w14:paraId="1D0BFB80" w14:textId="77777777" w:rsidR="00DB15E9" w:rsidRDefault="0078312E">
      <w:pPr>
        <w:pStyle w:val="Caption"/>
        <w:keepNext/>
      </w:pPr>
      <w:bookmarkStart w:id="452" w:name="_Toc326129324"/>
      <w:bookmarkStart w:id="453" w:name="_Toc471971580"/>
      <w:r>
        <w:lastRenderedPageBreak/>
        <w:t xml:space="preserve">Table </w:t>
      </w:r>
      <w:r w:rsidR="00BA5284">
        <w:fldChar w:fldCharType="begin"/>
      </w:r>
      <w:r w:rsidR="00BA5284">
        <w:instrText xml:space="preserve"> STYLEREF 7 \s </w:instrText>
      </w:r>
      <w:r w:rsidR="00BA5284">
        <w:fldChar w:fldCharType="separate"/>
      </w:r>
      <w:r>
        <w:rPr>
          <w:noProof/>
        </w:rPr>
        <w:t>D</w:t>
      </w:r>
      <w:r w:rsidR="00BA5284">
        <w:rPr>
          <w:noProof/>
        </w:rPr>
        <w:fldChar w:fldCharType="end"/>
      </w:r>
      <w:r>
        <w:noBreakHyphen/>
      </w:r>
      <w:r w:rsidR="00BA5284">
        <w:fldChar w:fldCharType="begin"/>
      </w:r>
      <w:r w:rsidR="00BA5284">
        <w:instrText xml:space="preserve"> SEQ Table \* ARABIC \r 1 </w:instrText>
      </w:r>
      <w:r w:rsidR="00BA5284">
        <w:fldChar w:fldCharType="separate"/>
      </w:r>
      <w:r>
        <w:rPr>
          <w:noProof/>
        </w:rPr>
        <w:t>1</w:t>
      </w:r>
      <w:r w:rsidR="00BA5284">
        <w:rPr>
          <w:noProof/>
        </w:rPr>
        <w:fldChar w:fldCharType="end"/>
      </w:r>
      <w:r>
        <w:t>: Distribution of NICM Instruments Among Science Mission Directorate Divisions</w:t>
      </w:r>
      <w:bookmarkEnd w:id="452"/>
      <w:bookmarkEnd w:id="453"/>
    </w:p>
    <w:tbl>
      <w:tblPr>
        <w:tblStyle w:val="TableGrid8"/>
        <w:tblW w:w="7193" w:type="dxa"/>
        <w:jc w:val="center"/>
        <w:tblLayout w:type="fixed"/>
        <w:tblLook w:val="05E0" w:firstRow="1" w:lastRow="1" w:firstColumn="1" w:lastColumn="1" w:noHBand="0" w:noVBand="1"/>
      </w:tblPr>
      <w:tblGrid>
        <w:gridCol w:w="1870"/>
        <w:gridCol w:w="1310"/>
        <w:gridCol w:w="1523"/>
        <w:gridCol w:w="1576"/>
        <w:gridCol w:w="914"/>
      </w:tblGrid>
      <w:tr w:rsidR="00DB15E9" w14:paraId="6D6B9350" w14:textId="77777777" w:rsidTr="00DB15E9">
        <w:trPr>
          <w:cnfStyle w:val="100000000000" w:firstRow="1" w:lastRow="0" w:firstColumn="0" w:lastColumn="0" w:oddVBand="0" w:evenVBand="0" w:oddHBand="0" w:evenHBand="0" w:firstRowFirstColumn="0" w:firstRowLastColumn="0" w:lastRowFirstColumn="0" w:lastRowLastColumn="0"/>
          <w:trHeight w:val="65"/>
          <w:jc w:val="center"/>
        </w:trPr>
        <w:tc>
          <w:tcPr>
            <w:tcW w:w="1870" w:type="dxa"/>
            <w:hideMark/>
          </w:tcPr>
          <w:p w14:paraId="6FBC1578" w14:textId="77777777" w:rsidR="00DB15E9" w:rsidRDefault="0078312E">
            <w:pPr>
              <w:pStyle w:val="ESSPTableText"/>
              <w:rPr>
                <w:b w:val="0"/>
              </w:rPr>
            </w:pPr>
            <w:r>
              <w:t>SMD Division</w:t>
            </w:r>
          </w:p>
        </w:tc>
        <w:tc>
          <w:tcPr>
            <w:tcW w:w="1310" w:type="dxa"/>
            <w:hideMark/>
          </w:tcPr>
          <w:p w14:paraId="1D9090BC" w14:textId="77777777" w:rsidR="00DB15E9" w:rsidRDefault="0078312E">
            <w:pPr>
              <w:pStyle w:val="ESSPTableText"/>
              <w:rPr>
                <w:b w:val="0"/>
              </w:rPr>
            </w:pPr>
            <w:r>
              <w:t>Directed</w:t>
            </w:r>
          </w:p>
        </w:tc>
        <w:tc>
          <w:tcPr>
            <w:tcW w:w="1523" w:type="dxa"/>
            <w:hideMark/>
          </w:tcPr>
          <w:p w14:paraId="4E0D44C1" w14:textId="77777777" w:rsidR="00DB15E9" w:rsidRDefault="0078312E">
            <w:pPr>
              <w:pStyle w:val="ESSPTableText"/>
              <w:rPr>
                <w:b w:val="0"/>
              </w:rPr>
            </w:pPr>
            <w:r>
              <w:t>Competed</w:t>
            </w:r>
          </w:p>
        </w:tc>
        <w:tc>
          <w:tcPr>
            <w:tcW w:w="1576" w:type="dxa"/>
            <w:hideMark/>
          </w:tcPr>
          <w:p w14:paraId="6E136C63" w14:textId="77777777" w:rsidR="00DB15E9" w:rsidRDefault="0078312E">
            <w:pPr>
              <w:pStyle w:val="ESSPTableText"/>
              <w:rPr>
                <w:b w:val="0"/>
              </w:rPr>
            </w:pPr>
            <w:r>
              <w:t>Non-NASA</w:t>
            </w:r>
          </w:p>
        </w:tc>
        <w:tc>
          <w:tcPr>
            <w:cnfStyle w:val="000100000000" w:firstRow="0" w:lastRow="0" w:firstColumn="0" w:lastColumn="1" w:oddVBand="0" w:evenVBand="0" w:oddHBand="0" w:evenHBand="0" w:firstRowFirstColumn="0" w:firstRowLastColumn="0" w:lastRowFirstColumn="0" w:lastRowLastColumn="0"/>
            <w:tcW w:w="914" w:type="dxa"/>
          </w:tcPr>
          <w:p w14:paraId="7A320EB8" w14:textId="77777777" w:rsidR="00DB15E9" w:rsidRDefault="0078312E">
            <w:pPr>
              <w:pStyle w:val="ESSPTableText"/>
            </w:pPr>
            <w:r>
              <w:t>Total</w:t>
            </w:r>
          </w:p>
        </w:tc>
      </w:tr>
      <w:tr w:rsidR="00DB15E9" w14:paraId="1971B80E" w14:textId="77777777" w:rsidTr="00DB15E9">
        <w:trPr>
          <w:trHeight w:val="65"/>
          <w:jc w:val="center"/>
        </w:trPr>
        <w:tc>
          <w:tcPr>
            <w:tcW w:w="1870" w:type="dxa"/>
            <w:hideMark/>
          </w:tcPr>
          <w:p w14:paraId="52FF689C" w14:textId="77777777" w:rsidR="00DB15E9" w:rsidRDefault="0078312E">
            <w:pPr>
              <w:pStyle w:val="ESSPTableText"/>
            </w:pPr>
            <w:r>
              <w:t>Earth</w:t>
            </w:r>
          </w:p>
        </w:tc>
        <w:tc>
          <w:tcPr>
            <w:tcW w:w="1310" w:type="dxa"/>
            <w:hideMark/>
          </w:tcPr>
          <w:p w14:paraId="2B5D0EF3" w14:textId="77777777" w:rsidR="00DB15E9" w:rsidRDefault="0078312E">
            <w:pPr>
              <w:pStyle w:val="ESSPTableText"/>
            </w:pPr>
            <w:r>
              <w:t>18</w:t>
            </w:r>
          </w:p>
        </w:tc>
        <w:tc>
          <w:tcPr>
            <w:tcW w:w="1523" w:type="dxa"/>
            <w:hideMark/>
          </w:tcPr>
          <w:p w14:paraId="2C1357CC" w14:textId="77777777" w:rsidR="00DB15E9" w:rsidRDefault="0078312E">
            <w:pPr>
              <w:pStyle w:val="ESSPTableText"/>
            </w:pPr>
            <w:r>
              <w:t>5</w:t>
            </w:r>
          </w:p>
        </w:tc>
        <w:tc>
          <w:tcPr>
            <w:tcW w:w="1576" w:type="dxa"/>
            <w:hideMark/>
          </w:tcPr>
          <w:p w14:paraId="7D1BE693" w14:textId="77777777" w:rsidR="00DB15E9" w:rsidRDefault="0078312E">
            <w:pPr>
              <w:pStyle w:val="ESSPTableText"/>
            </w:pPr>
            <w:r>
              <w:t>5</w:t>
            </w:r>
          </w:p>
        </w:tc>
        <w:tc>
          <w:tcPr>
            <w:cnfStyle w:val="000100000000" w:firstRow="0" w:lastRow="0" w:firstColumn="0" w:lastColumn="1" w:oddVBand="0" w:evenVBand="0" w:oddHBand="0" w:evenHBand="0" w:firstRowFirstColumn="0" w:firstRowLastColumn="0" w:lastRowFirstColumn="0" w:lastRowLastColumn="0"/>
            <w:tcW w:w="914" w:type="dxa"/>
          </w:tcPr>
          <w:p w14:paraId="3269A1D2" w14:textId="77777777" w:rsidR="00DB15E9" w:rsidRDefault="0078312E">
            <w:pPr>
              <w:pStyle w:val="ESSPTableText"/>
            </w:pPr>
            <w:r>
              <w:t>28</w:t>
            </w:r>
          </w:p>
        </w:tc>
      </w:tr>
      <w:tr w:rsidR="00DB15E9" w14:paraId="7368E2E5" w14:textId="77777777" w:rsidTr="00DB15E9">
        <w:trPr>
          <w:trHeight w:val="65"/>
          <w:jc w:val="center"/>
        </w:trPr>
        <w:tc>
          <w:tcPr>
            <w:tcW w:w="1870" w:type="dxa"/>
            <w:hideMark/>
          </w:tcPr>
          <w:p w14:paraId="3AAE9E7E" w14:textId="77777777" w:rsidR="00DB15E9" w:rsidRDefault="0078312E">
            <w:pPr>
              <w:pStyle w:val="ESSPTableText"/>
            </w:pPr>
            <w:r>
              <w:t>Planetary</w:t>
            </w:r>
          </w:p>
        </w:tc>
        <w:tc>
          <w:tcPr>
            <w:tcW w:w="1310" w:type="dxa"/>
            <w:hideMark/>
          </w:tcPr>
          <w:p w14:paraId="58032475" w14:textId="77777777" w:rsidR="00DB15E9" w:rsidRDefault="0078312E">
            <w:pPr>
              <w:pStyle w:val="ESSPTableText"/>
            </w:pPr>
            <w:r>
              <w:t>35</w:t>
            </w:r>
          </w:p>
        </w:tc>
        <w:tc>
          <w:tcPr>
            <w:tcW w:w="1523" w:type="dxa"/>
            <w:hideMark/>
          </w:tcPr>
          <w:p w14:paraId="0B9A90CC" w14:textId="77777777" w:rsidR="00DB15E9" w:rsidRDefault="0078312E">
            <w:pPr>
              <w:pStyle w:val="ESSPTableText"/>
            </w:pPr>
            <w:r>
              <w:t>18</w:t>
            </w:r>
          </w:p>
        </w:tc>
        <w:tc>
          <w:tcPr>
            <w:tcW w:w="1576" w:type="dxa"/>
            <w:hideMark/>
          </w:tcPr>
          <w:p w14:paraId="43B191FD" w14:textId="77777777" w:rsidR="00DB15E9" w:rsidRDefault="0078312E">
            <w:pPr>
              <w:pStyle w:val="ESSPTableText"/>
            </w:pPr>
            <w:r>
              <w:t>1</w:t>
            </w:r>
          </w:p>
        </w:tc>
        <w:tc>
          <w:tcPr>
            <w:cnfStyle w:val="000100000000" w:firstRow="0" w:lastRow="0" w:firstColumn="0" w:lastColumn="1" w:oddVBand="0" w:evenVBand="0" w:oddHBand="0" w:evenHBand="0" w:firstRowFirstColumn="0" w:firstRowLastColumn="0" w:lastRowFirstColumn="0" w:lastRowLastColumn="0"/>
            <w:tcW w:w="914" w:type="dxa"/>
          </w:tcPr>
          <w:p w14:paraId="0E3A7360" w14:textId="77777777" w:rsidR="00DB15E9" w:rsidRDefault="0078312E">
            <w:pPr>
              <w:pStyle w:val="ESSPTableText"/>
            </w:pPr>
            <w:r>
              <w:t>54</w:t>
            </w:r>
          </w:p>
        </w:tc>
      </w:tr>
      <w:tr w:rsidR="00DB15E9" w14:paraId="70AB5176" w14:textId="77777777" w:rsidTr="00DB15E9">
        <w:trPr>
          <w:trHeight w:val="65"/>
          <w:jc w:val="center"/>
        </w:trPr>
        <w:tc>
          <w:tcPr>
            <w:tcW w:w="1870" w:type="dxa"/>
            <w:hideMark/>
          </w:tcPr>
          <w:p w14:paraId="19D54DCD" w14:textId="77777777" w:rsidR="00DB15E9" w:rsidRDefault="0078312E">
            <w:pPr>
              <w:pStyle w:val="ESSPTableText"/>
            </w:pPr>
            <w:r>
              <w:t>Heliophysics</w:t>
            </w:r>
          </w:p>
        </w:tc>
        <w:tc>
          <w:tcPr>
            <w:tcW w:w="1310" w:type="dxa"/>
            <w:hideMark/>
          </w:tcPr>
          <w:p w14:paraId="27166673" w14:textId="77777777" w:rsidR="00DB15E9" w:rsidRDefault="0078312E">
            <w:pPr>
              <w:pStyle w:val="ESSPTableText"/>
            </w:pPr>
            <w:r>
              <w:t>5</w:t>
            </w:r>
          </w:p>
        </w:tc>
        <w:tc>
          <w:tcPr>
            <w:tcW w:w="1523" w:type="dxa"/>
            <w:hideMark/>
          </w:tcPr>
          <w:p w14:paraId="21650D5D" w14:textId="77777777" w:rsidR="00DB15E9" w:rsidRDefault="0078312E">
            <w:pPr>
              <w:pStyle w:val="ESSPTableText"/>
            </w:pPr>
            <w:r>
              <w:t>3</w:t>
            </w:r>
          </w:p>
        </w:tc>
        <w:tc>
          <w:tcPr>
            <w:tcW w:w="1576" w:type="dxa"/>
            <w:hideMark/>
          </w:tcPr>
          <w:p w14:paraId="3CBE7C7B" w14:textId="77777777" w:rsidR="00DB15E9" w:rsidRDefault="0078312E">
            <w:pPr>
              <w:pStyle w:val="ESSPTableText"/>
            </w:pPr>
            <w:r>
              <w:t>1</w:t>
            </w:r>
          </w:p>
        </w:tc>
        <w:tc>
          <w:tcPr>
            <w:cnfStyle w:val="000100000000" w:firstRow="0" w:lastRow="0" w:firstColumn="0" w:lastColumn="1" w:oddVBand="0" w:evenVBand="0" w:oddHBand="0" w:evenHBand="0" w:firstRowFirstColumn="0" w:firstRowLastColumn="0" w:lastRowFirstColumn="0" w:lastRowLastColumn="0"/>
            <w:tcW w:w="914" w:type="dxa"/>
          </w:tcPr>
          <w:p w14:paraId="72BA5066" w14:textId="77777777" w:rsidR="00DB15E9" w:rsidRDefault="0078312E">
            <w:pPr>
              <w:pStyle w:val="ESSPTableText"/>
            </w:pPr>
            <w:r>
              <w:t>9</w:t>
            </w:r>
          </w:p>
        </w:tc>
      </w:tr>
      <w:tr w:rsidR="00DB15E9" w14:paraId="2E43BA1B" w14:textId="77777777" w:rsidTr="00DB15E9">
        <w:trPr>
          <w:trHeight w:val="65"/>
          <w:jc w:val="center"/>
        </w:trPr>
        <w:tc>
          <w:tcPr>
            <w:tcW w:w="1870" w:type="dxa"/>
            <w:hideMark/>
          </w:tcPr>
          <w:p w14:paraId="7761182C" w14:textId="77777777" w:rsidR="00DB15E9" w:rsidRDefault="0078312E">
            <w:pPr>
              <w:pStyle w:val="ESSPTableText"/>
            </w:pPr>
            <w:r>
              <w:t>Astrophysics</w:t>
            </w:r>
          </w:p>
        </w:tc>
        <w:tc>
          <w:tcPr>
            <w:tcW w:w="1310" w:type="dxa"/>
            <w:hideMark/>
          </w:tcPr>
          <w:p w14:paraId="62E93702" w14:textId="77777777" w:rsidR="00DB15E9" w:rsidRDefault="0078312E">
            <w:pPr>
              <w:pStyle w:val="ESSPTableText"/>
            </w:pPr>
            <w:r>
              <w:t>10</w:t>
            </w:r>
          </w:p>
        </w:tc>
        <w:tc>
          <w:tcPr>
            <w:tcW w:w="1523" w:type="dxa"/>
            <w:hideMark/>
          </w:tcPr>
          <w:p w14:paraId="27F03EA4" w14:textId="77777777" w:rsidR="00DB15E9" w:rsidRDefault="0078312E">
            <w:pPr>
              <w:pStyle w:val="ESSPTableText"/>
            </w:pPr>
            <w:r>
              <w:t>1</w:t>
            </w:r>
          </w:p>
        </w:tc>
        <w:tc>
          <w:tcPr>
            <w:tcW w:w="1576" w:type="dxa"/>
            <w:hideMark/>
          </w:tcPr>
          <w:p w14:paraId="469FD72B" w14:textId="77777777" w:rsidR="00DB15E9" w:rsidRDefault="0078312E">
            <w:pPr>
              <w:pStyle w:val="ESSPTableText"/>
            </w:pPr>
            <w:r>
              <w:t>0</w:t>
            </w:r>
          </w:p>
        </w:tc>
        <w:tc>
          <w:tcPr>
            <w:cnfStyle w:val="000100000000" w:firstRow="0" w:lastRow="0" w:firstColumn="0" w:lastColumn="1" w:oddVBand="0" w:evenVBand="0" w:oddHBand="0" w:evenHBand="0" w:firstRowFirstColumn="0" w:firstRowLastColumn="0" w:lastRowFirstColumn="0" w:lastRowLastColumn="0"/>
            <w:tcW w:w="914" w:type="dxa"/>
          </w:tcPr>
          <w:p w14:paraId="7D0E724C" w14:textId="77777777" w:rsidR="00DB15E9" w:rsidRDefault="0078312E">
            <w:pPr>
              <w:pStyle w:val="ESSPTableText"/>
            </w:pPr>
            <w:r>
              <w:t>11</w:t>
            </w:r>
          </w:p>
        </w:tc>
      </w:tr>
      <w:tr w:rsidR="00DB15E9" w14:paraId="09025959" w14:textId="77777777" w:rsidTr="00DB15E9">
        <w:trPr>
          <w:cnfStyle w:val="010000000000" w:firstRow="0" w:lastRow="1" w:firstColumn="0" w:lastColumn="0" w:oddVBand="0" w:evenVBand="0" w:oddHBand="0" w:evenHBand="0" w:firstRowFirstColumn="0" w:firstRowLastColumn="0" w:lastRowFirstColumn="0" w:lastRowLastColumn="0"/>
          <w:trHeight w:val="65"/>
          <w:jc w:val="center"/>
        </w:trPr>
        <w:tc>
          <w:tcPr>
            <w:tcW w:w="1870" w:type="dxa"/>
            <w:hideMark/>
          </w:tcPr>
          <w:p w14:paraId="7747783E" w14:textId="77777777" w:rsidR="00DB15E9" w:rsidRDefault="0078312E">
            <w:pPr>
              <w:pStyle w:val="ESSPTableText"/>
              <w:rPr>
                <w:b w:val="0"/>
              </w:rPr>
            </w:pPr>
            <w:r>
              <w:t>Total</w:t>
            </w:r>
          </w:p>
        </w:tc>
        <w:tc>
          <w:tcPr>
            <w:tcW w:w="1310" w:type="dxa"/>
            <w:hideMark/>
          </w:tcPr>
          <w:p w14:paraId="0BDCEBF2" w14:textId="77777777" w:rsidR="00DB15E9" w:rsidRDefault="0078312E">
            <w:pPr>
              <w:pStyle w:val="ESSPTableText"/>
            </w:pPr>
            <w:r>
              <w:t>68</w:t>
            </w:r>
          </w:p>
        </w:tc>
        <w:tc>
          <w:tcPr>
            <w:tcW w:w="1523" w:type="dxa"/>
            <w:hideMark/>
          </w:tcPr>
          <w:p w14:paraId="35545B7C" w14:textId="77777777" w:rsidR="00DB15E9" w:rsidRDefault="0078312E">
            <w:pPr>
              <w:pStyle w:val="ESSPTableText"/>
            </w:pPr>
            <w:r>
              <w:t>27</w:t>
            </w:r>
          </w:p>
        </w:tc>
        <w:tc>
          <w:tcPr>
            <w:tcW w:w="1576" w:type="dxa"/>
            <w:hideMark/>
          </w:tcPr>
          <w:p w14:paraId="00468336" w14:textId="77777777" w:rsidR="00DB15E9" w:rsidRDefault="0078312E">
            <w:pPr>
              <w:pStyle w:val="ESSPTableText"/>
            </w:pPr>
            <w:r>
              <w:t>7</w:t>
            </w:r>
          </w:p>
        </w:tc>
        <w:tc>
          <w:tcPr>
            <w:cnfStyle w:val="000100000000" w:firstRow="0" w:lastRow="0" w:firstColumn="0" w:lastColumn="1" w:oddVBand="0" w:evenVBand="0" w:oddHBand="0" w:evenHBand="0" w:firstRowFirstColumn="0" w:firstRowLastColumn="0" w:lastRowFirstColumn="0" w:lastRowLastColumn="0"/>
            <w:tcW w:w="914" w:type="dxa"/>
          </w:tcPr>
          <w:p w14:paraId="2C2455F5" w14:textId="77777777" w:rsidR="00DB15E9" w:rsidRDefault="0078312E">
            <w:pPr>
              <w:pStyle w:val="ESSPTableText"/>
            </w:pPr>
            <w:r>
              <w:t>102</w:t>
            </w:r>
          </w:p>
        </w:tc>
      </w:tr>
    </w:tbl>
    <w:p w14:paraId="3A2A55D1" w14:textId="77777777" w:rsidR="00DB15E9" w:rsidRDefault="0078312E">
      <w:pPr>
        <w:pStyle w:val="ESSPBodyText"/>
        <w:rPr>
          <w:rFonts w:asciiTheme="majorHAnsi" w:hAnsiTheme="majorHAnsi" w:cstheme="majorHAnsi"/>
        </w:rPr>
      </w:pPr>
      <w:r>
        <w:t xml:space="preserve">In further examination of the data, specifically the Earth Science instruments that are outside the ellipse in </w:t>
      </w:r>
      <w:r>
        <w:rPr>
          <w:rStyle w:val="ESSPBodyTextChar"/>
        </w:rPr>
        <w:t>Figure D-1</w:t>
      </w:r>
      <w:r>
        <w:t xml:space="preserve">, the specific instrument details indicate that they were primary instruments that drove the mission requirements. This is certainly the case for the Aura mission with the MLS and TES instruments. Given that this document deals with instruments that are </w:t>
      </w:r>
      <w:r>
        <w:rPr>
          <w:b/>
          <w:i/>
        </w:rPr>
        <w:t>classified as hosted payloads</w:t>
      </w:r>
      <w:r>
        <w:t xml:space="preserve"> without knowledge of what mission or spacecraft they will be paired with, the CII WG </w:t>
      </w:r>
      <w:r>
        <w:rPr>
          <w:b/>
          <w:i/>
        </w:rPr>
        <w:t>allocates 100 kg for the Level 1 mass guideline.</w:t>
      </w:r>
      <w:r>
        <w:t xml:space="preserve"> Therefore, every effort should be made to keep the mass to less than 100 kg to </w:t>
      </w:r>
      <w:r>
        <w:rPr>
          <w:rFonts w:asciiTheme="majorHAnsi" w:hAnsiTheme="majorHAnsi" w:cstheme="majorHAnsi"/>
        </w:rPr>
        <w:t>increase the probability of pairing with an HPO.</w:t>
      </w:r>
    </w:p>
    <w:p w14:paraId="052B0C65" w14:textId="77777777" w:rsidR="00DB15E9" w:rsidRDefault="0078312E">
      <w:pPr>
        <w:pStyle w:val="ESSPBodyText"/>
        <w:rPr>
          <w:b/>
          <w:i/>
        </w:rPr>
      </w:pPr>
      <w:r>
        <w:rPr>
          <w:rStyle w:val="ESSPBodyTextChar"/>
        </w:rPr>
        <w:t>Figure D-2</w:t>
      </w:r>
      <w:r>
        <w:t xml:space="preserve"> shows the relationship between power and mass. The power consumed by an instrument is also approximately linearly correlated to the mass of the instrument. On this basis, </w:t>
      </w:r>
      <w:r>
        <w:rPr>
          <w:b/>
          <w:i/>
        </w:rPr>
        <w:t xml:space="preserve">we allocate 100 W for the Level 1 power guideline </w:t>
      </w:r>
      <w:r>
        <w:t>for a 100 kg instrument.</w:t>
      </w:r>
    </w:p>
    <w:p w14:paraId="5F872D85" w14:textId="77777777" w:rsidR="00DB15E9" w:rsidRDefault="0078312E">
      <w:pPr>
        <w:pStyle w:val="ESSPFigure"/>
        <w:jc w:val="left"/>
        <w:rPr>
          <w:rFonts w:ascii="Helvetica" w:hAnsi="Helvetica"/>
          <w:noProof w:val="0"/>
        </w:rPr>
      </w:pPr>
      <w:r>
        <w:rPr>
          <w:rFonts w:ascii="Helvetica" w:hAnsi="Helvetica"/>
        </w:rPr>
        <w:drawing>
          <wp:inline distT="0" distB="0" distL="0" distR="0" wp14:anchorId="3C987946" wp14:editId="40715170">
            <wp:extent cx="5943600" cy="3200400"/>
            <wp:effectExtent l="0" t="0" r="19050" b="19050"/>
            <wp:docPr id="1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FEA354F" w14:textId="77777777" w:rsidR="00DB15E9" w:rsidRDefault="0078312E">
      <w:pPr>
        <w:pStyle w:val="Caption"/>
        <w:rPr>
          <w:rFonts w:ascii="Times New Roman" w:hAnsi="Times New Roman"/>
        </w:rPr>
      </w:pPr>
      <w:bookmarkStart w:id="454" w:name="OLE_LINK27"/>
      <w:bookmarkStart w:id="455" w:name="OLE_LINK28"/>
      <w:bookmarkStart w:id="456" w:name="_Toc326129366"/>
      <w:bookmarkStart w:id="457" w:name="_Toc453061561"/>
      <w:bookmarkStart w:id="458" w:name="_Toc471911512"/>
      <w:r>
        <w:t>Figure D-</w:t>
      </w:r>
      <w:r w:rsidR="00BA5284">
        <w:fldChar w:fldCharType="begin"/>
      </w:r>
      <w:r w:rsidR="00BA5284">
        <w:instrText xml:space="preserve"> SEQ Figure_D- \* ARABIC </w:instrText>
      </w:r>
      <w:r w:rsidR="00BA5284">
        <w:fldChar w:fldCharType="separate"/>
      </w:r>
      <w:r>
        <w:rPr>
          <w:noProof/>
        </w:rPr>
        <w:t>2</w:t>
      </w:r>
      <w:r w:rsidR="00BA5284">
        <w:rPr>
          <w:noProof/>
        </w:rPr>
        <w:fldChar w:fldCharType="end"/>
      </w:r>
      <w:r>
        <w:rPr>
          <w:rFonts w:ascii="Helvetica" w:hAnsi="Helvetica"/>
        </w:rPr>
        <w:t>:</w:t>
      </w:r>
      <w:r>
        <w:t xml:space="preserve"> </w:t>
      </w:r>
      <w:bookmarkEnd w:id="454"/>
      <w:bookmarkEnd w:id="455"/>
      <w:r>
        <w:rPr>
          <w:rFonts w:ascii="Helvetica" w:hAnsi="Helvetica"/>
        </w:rPr>
        <w:t>Power as a Function of Mass</w:t>
      </w:r>
      <w:bookmarkEnd w:id="456"/>
      <w:bookmarkEnd w:id="457"/>
      <w:bookmarkEnd w:id="458"/>
    </w:p>
    <w:p w14:paraId="370C0A6A" w14:textId="77777777" w:rsidR="00DB15E9" w:rsidRDefault="0078312E">
      <w:pPr>
        <w:pStyle w:val="ESSPBodyText"/>
      </w:pPr>
      <w:r>
        <w:t>As stated earlier, instruments over time have become smaller</w:t>
      </w:r>
      <w:r>
        <w:rPr>
          <w:rFonts w:asciiTheme="majorHAnsi" w:hAnsiTheme="majorHAnsi" w:cstheme="majorHAnsi"/>
        </w:rPr>
        <w:t xml:space="preserve"> and more capable. Specifically, in Earth Science instruments this translates into generating more and more data. </w:t>
      </w:r>
      <w:r>
        <w:rPr>
          <w:rStyle w:val="ESSPBodyTextChar"/>
        </w:rPr>
        <w:t>Figure D-3</w:t>
      </w:r>
      <w:r>
        <w:rPr>
          <w:rFonts w:asciiTheme="majorHAnsi" w:hAnsiTheme="majorHAnsi" w:cstheme="majorHAnsi"/>
        </w:rPr>
        <w:t xml:space="preserve"> shows the data rates for all SMD instruments. This graph indicates t</w:t>
      </w:r>
      <w:r>
        <w:t>hat the data rate has increased by about an order of magnitude over two decades.</w:t>
      </w:r>
      <w:r>
        <w:rPr>
          <w:rFonts w:asciiTheme="majorHAnsi" w:hAnsiTheme="majorHAnsi" w:cstheme="majorHAnsi"/>
        </w:rPr>
        <w:t xml:space="preserve"> </w:t>
      </w:r>
      <w:r>
        <w:t xml:space="preserve">Based upon this observation </w:t>
      </w:r>
      <w:r>
        <w:rPr>
          <w:b/>
          <w:bCs/>
          <w:i/>
          <w:iCs/>
        </w:rPr>
        <w:t xml:space="preserve">we set the Level 1 </w:t>
      </w:r>
      <w:r>
        <w:rPr>
          <w:b/>
          <w:bCs/>
          <w:i/>
          <w:iCs/>
        </w:rPr>
        <w:lastRenderedPageBreak/>
        <w:t xml:space="preserve">data rate guideline at 10 Mbps, </w:t>
      </w:r>
      <w:r>
        <w:rPr>
          <w:bCs/>
          <w:iCs/>
        </w:rPr>
        <w:t xml:space="preserve">although </w:t>
      </w:r>
      <w:r>
        <w:t>some instruments may generate more than 10 Mbps.</w:t>
      </w:r>
      <w:r>
        <w:rPr>
          <w:rFonts w:asciiTheme="majorHAnsi" w:hAnsiTheme="majorHAnsi" w:cstheme="majorHAnsi"/>
        </w:rPr>
        <w:t xml:space="preserve"> </w:t>
      </w:r>
      <w:r>
        <w:t>This implies that the instruments should have the capability of on-board data analysis and or data compression or the capability of fractional time data collection.</w:t>
      </w:r>
      <w:r>
        <w:rPr>
          <w:rFonts w:asciiTheme="majorHAnsi" w:hAnsiTheme="majorHAnsi" w:cstheme="majorHAnsi"/>
        </w:rPr>
        <w:t xml:space="preserve"> </w:t>
      </w:r>
      <w:r>
        <w:t>This clearly illustrates the need to pair an Instrument to a compatible HPO as early as possible.</w:t>
      </w:r>
      <w:r>
        <w:rPr>
          <w:rFonts w:asciiTheme="majorHAnsi" w:hAnsiTheme="majorHAnsi" w:cstheme="majorHAnsi"/>
        </w:rPr>
        <w:t xml:space="preserve"> </w:t>
      </w:r>
      <w:r>
        <w:t>As with all guidelines contained within this document, once the instrument is paired with an HPO, the agreement between the two will supersede these guidelines.</w:t>
      </w:r>
    </w:p>
    <w:p w14:paraId="63F861DE" w14:textId="77777777" w:rsidR="00DB15E9" w:rsidRDefault="0078312E">
      <w:pPr>
        <w:pStyle w:val="ESSPFigure"/>
      </w:pPr>
      <w:r>
        <w:rPr>
          <w:rFonts w:ascii="Helvetica" w:hAnsi="Helvetica"/>
        </w:rPr>
        <w:drawing>
          <wp:inline distT="0" distB="0" distL="0" distR="0" wp14:anchorId="564E1BD0" wp14:editId="0D8DEA82">
            <wp:extent cx="5947954" cy="2838994"/>
            <wp:effectExtent l="0" t="0" r="15240" b="19050"/>
            <wp:docPr id="1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ACF67ED" w14:textId="77777777" w:rsidR="00DB15E9" w:rsidRDefault="0078312E">
      <w:pPr>
        <w:pStyle w:val="Caption"/>
        <w:rPr>
          <w:rFonts w:ascii="Helvetica" w:hAnsi="Helvetica"/>
        </w:rPr>
      </w:pPr>
      <w:bookmarkStart w:id="459" w:name="_Toc453061562"/>
      <w:bookmarkStart w:id="460" w:name="_Toc471911513"/>
      <w:r>
        <w:t>Figure D-</w:t>
      </w:r>
      <w:r w:rsidR="00BA5284">
        <w:fldChar w:fldCharType="begin"/>
      </w:r>
      <w:r w:rsidR="00BA5284">
        <w:instrText xml:space="preserve"> SEQ Figure_D- \* ARABIC </w:instrText>
      </w:r>
      <w:r w:rsidR="00BA5284">
        <w:fldChar w:fldCharType="separate"/>
      </w:r>
      <w:r>
        <w:rPr>
          <w:noProof/>
        </w:rPr>
        <w:t>3</w:t>
      </w:r>
      <w:r w:rsidR="00BA5284">
        <w:rPr>
          <w:noProof/>
        </w:rPr>
        <w:fldChar w:fldCharType="end"/>
      </w:r>
      <w:r>
        <w:rPr>
          <w:rFonts w:ascii="Helvetica" w:hAnsi="Helvetica"/>
        </w:rPr>
        <w:t>:</w:t>
      </w:r>
      <w:r>
        <w:t xml:space="preserve"> Trend of Mean Instrument Data Rates</w:t>
      </w:r>
      <w:bookmarkEnd w:id="459"/>
      <w:bookmarkEnd w:id="460"/>
    </w:p>
    <w:p w14:paraId="11D2C69E" w14:textId="77777777" w:rsidR="00DB15E9" w:rsidRDefault="0078312E">
      <w:pPr>
        <w:pStyle w:val="ESSPBodyText"/>
      </w:pPr>
      <w:r>
        <w:t>Categorization of the instruments as hosted payloads implies that these instruments have a mission risk level of C as defined in NPR 8705.4.</w:t>
      </w:r>
      <w:r>
        <w:rPr>
          <w:rFonts w:asciiTheme="majorHAnsi" w:hAnsiTheme="majorHAnsi" w:cstheme="majorHAnsi"/>
        </w:rPr>
        <w:t xml:space="preserve"> </w:t>
      </w:r>
      <w:r>
        <w:t>This in turn defines the 2-year operational life and software classification.</w:t>
      </w:r>
    </w:p>
    <w:p w14:paraId="5E1A54DE" w14:textId="77777777" w:rsidR="00DB15E9" w:rsidRDefault="0078312E">
      <w:pPr>
        <w:pStyle w:val="Heading7"/>
      </w:pPr>
      <w:bookmarkStart w:id="461" w:name="_Ref296351496"/>
      <w:bookmarkStart w:id="462" w:name="_Toc326129288"/>
      <w:bookmarkStart w:id="463" w:name="_Toc226776118"/>
      <w:bookmarkStart w:id="464" w:name="_Toc471971543"/>
      <w:r>
        <w:lastRenderedPageBreak/>
        <w:t>Instrument Modes</w:t>
      </w:r>
      <w:bookmarkEnd w:id="461"/>
      <w:bookmarkEnd w:id="462"/>
      <w:bookmarkEnd w:id="463"/>
      <w:bookmarkEnd w:id="464"/>
    </w:p>
    <w:p w14:paraId="3336AEB4" w14:textId="77777777" w:rsidR="00DB15E9" w:rsidRDefault="0078312E">
      <w:pPr>
        <w:pStyle w:val="ESSPBodyText"/>
      </w:pPr>
      <w:r>
        <w:t>This section shows one way to set up a notional Instrument mode scheme and also provides context for those guidelines, especially data and electrical power, which reference various modes.</w:t>
      </w:r>
    </w:p>
    <w:p w14:paraId="53D8F200" w14:textId="77777777" w:rsidR="00DB15E9" w:rsidRDefault="0078312E">
      <w:pPr>
        <w:pStyle w:val="AppendixOutlineLevel2"/>
      </w:pPr>
      <w:bookmarkStart w:id="465" w:name="_Ref300745039"/>
      <w:bookmarkStart w:id="466" w:name="_Ref300745043"/>
      <w:bookmarkStart w:id="467" w:name="_Ref300745183"/>
      <w:bookmarkStart w:id="468" w:name="_Toc471971544"/>
      <w:r>
        <w:t>Mode Guidelines</w:t>
      </w:r>
      <w:bookmarkEnd w:id="465"/>
      <w:bookmarkEnd w:id="466"/>
      <w:bookmarkEnd w:id="467"/>
      <w:bookmarkEnd w:id="468"/>
    </w:p>
    <w:p w14:paraId="44C8D632" w14:textId="77777777" w:rsidR="00DB15E9" w:rsidRDefault="0078312E">
      <w:pPr>
        <w:pStyle w:val="UnnumberedHeading3"/>
      </w:pPr>
      <w:r>
        <w:t>Basic Modes</w:t>
      </w:r>
    </w:p>
    <w:p w14:paraId="67CE2117" w14:textId="77777777" w:rsidR="00DB15E9" w:rsidRDefault="0078312E">
      <w:pPr>
        <w:pStyle w:val="ESSPBodyText"/>
      </w:pPr>
      <w:r>
        <w:t>Instruments should function in four basic modes of operation: O</w:t>
      </w:r>
      <w:r>
        <w:rPr>
          <w:smallCaps/>
        </w:rPr>
        <w:t>ff/Survival</w:t>
      </w:r>
      <w:r>
        <w:t>, I</w:t>
      </w:r>
      <w:r>
        <w:rPr>
          <w:smallCaps/>
        </w:rPr>
        <w:t>nitialization</w:t>
      </w:r>
      <w:r>
        <w:t>, O</w:t>
      </w:r>
      <w:r>
        <w:rPr>
          <w:smallCaps/>
        </w:rPr>
        <w:t>peration</w:t>
      </w:r>
      <w:r>
        <w:t xml:space="preserve">, and </w:t>
      </w:r>
      <w:r>
        <w:rPr>
          <w:smallCaps/>
        </w:rPr>
        <w:t>Safe (</w:t>
      </w:r>
      <w:r>
        <w:t xml:space="preserve">see </w:t>
      </w:r>
      <w:r w:rsidR="00BA5284">
        <w:fldChar w:fldCharType="begin"/>
      </w:r>
      <w:r w:rsidR="00BA5284">
        <w:instrText xml:space="preserve"> REF _Ref453064844  \* MERGEFORMAT </w:instrText>
      </w:r>
      <w:r w:rsidR="00BA5284">
        <w:fldChar w:fldCharType="separate"/>
      </w:r>
      <w:r>
        <w:t xml:space="preserve">Figure </w:t>
      </w:r>
      <w:r>
        <w:rPr>
          <w:noProof/>
        </w:rPr>
        <w:t>E-1</w:t>
      </w:r>
      <w:r w:rsidR="00BA5284">
        <w:rPr>
          <w:noProof/>
        </w:rPr>
        <w:fldChar w:fldCharType="end"/>
      </w:r>
      <w:r>
        <w:t>).</w:t>
      </w:r>
      <w:r>
        <w:rPr>
          <w:rFonts w:asciiTheme="majorHAnsi" w:hAnsiTheme="majorHAnsi" w:cstheme="majorHAnsi"/>
        </w:rPr>
        <w:t xml:space="preserve"> </w:t>
      </w:r>
      <w:r>
        <w:t>Within any mode, the Instrument may define additional sub-modes specific to their operation (</w:t>
      </w:r>
      <w:r>
        <w:rPr>
          <w:i/>
        </w:rPr>
        <w:t>e.g.</w:t>
      </w:r>
      <w:r>
        <w:t xml:space="preserve"> </w:t>
      </w:r>
      <w:r>
        <w:rPr>
          <w:smallCaps/>
        </w:rPr>
        <w:t>standby</w:t>
      </w:r>
      <w:r>
        <w:t xml:space="preserve">, </w:t>
      </w:r>
      <w:r>
        <w:rPr>
          <w:smallCaps/>
        </w:rPr>
        <w:t>diagnostic</w:t>
      </w:r>
      <w:r>
        <w:t xml:space="preserve">, </w:t>
      </w:r>
      <w:r>
        <w:rPr>
          <w:smallCaps/>
        </w:rPr>
        <w:t>measurement</w:t>
      </w:r>
      <w:r>
        <w:t>, etc.).</w:t>
      </w:r>
    </w:p>
    <w:bookmarkStart w:id="469" w:name="_Ref301171488"/>
    <w:bookmarkStart w:id="470" w:name="_Toc326129334"/>
    <w:p w14:paraId="69D862E5" w14:textId="77777777" w:rsidR="00DB15E9" w:rsidRDefault="0078312E">
      <w:pPr>
        <w:pStyle w:val="ESSPFigureCaption"/>
        <w:keepNext/>
        <w:rPr>
          <w:rFonts w:ascii="Helvetica" w:hAnsi="Helvetica"/>
        </w:rPr>
      </w:pPr>
      <w:r>
        <w:rPr>
          <w:rFonts w:ascii="Helvetica" w:hAnsi="Helvetica"/>
          <w:b w:val="0"/>
          <w:bCs w:val="0"/>
          <w:noProof/>
          <w:sz w:val="24"/>
          <w:szCs w:val="22"/>
        </w:rPr>
        <mc:AlternateContent>
          <mc:Choice Requires="wpg">
            <w:drawing>
              <wp:inline distT="0" distB="0" distL="0" distR="0" wp14:anchorId="186A3EF1" wp14:editId="3EFD627E">
                <wp:extent cx="5899357" cy="1902929"/>
                <wp:effectExtent l="0" t="0" r="25400" b="21590"/>
                <wp:docPr id="14"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99357" cy="1902929"/>
                          <a:chOff x="56950" y="0"/>
                          <a:chExt cx="7593904" cy="2442971"/>
                        </a:xfrm>
                      </wpg:grpSpPr>
                      <wpg:grpSp>
                        <wpg:cNvPr id="15" name="Group 15"/>
                        <wpg:cNvGrpSpPr>
                          <a:grpSpLocks/>
                        </wpg:cNvGrpSpPr>
                        <wpg:grpSpPr bwMode="auto">
                          <a:xfrm>
                            <a:off x="2164454" y="26796"/>
                            <a:ext cx="5486400" cy="2416175"/>
                            <a:chOff x="2164454" y="26803"/>
                            <a:chExt cx="8280" cy="3960"/>
                          </a:xfrm>
                        </wpg:grpSpPr>
                        <wps:wsp>
                          <wps:cNvPr id="16" name="Rectangle 16"/>
                          <wps:cNvSpPr>
                            <a:spLocks noChangeArrowheads="1"/>
                          </wps:cNvSpPr>
                          <wps:spPr bwMode="auto">
                            <a:xfrm>
                              <a:off x="2164454" y="28243"/>
                              <a:ext cx="2160" cy="1080"/>
                            </a:xfrm>
                            <a:prstGeom prst="rect">
                              <a:avLst/>
                            </a:prstGeom>
                            <a:noFill/>
                            <a:ln w="38100">
                              <a:solidFill>
                                <a:srgbClr val="000000"/>
                              </a:solidFill>
                              <a:prstDash val="dash"/>
                              <a:miter lim="800000"/>
                              <a:headEnd/>
                              <a:tailEnd/>
                            </a:ln>
                            <a:effectLst/>
                          </wps:spPr>
                          <wps:txbx>
                            <w:txbxContent>
                              <w:p w14:paraId="5B907412" w14:textId="77777777" w:rsidR="00DB15E9" w:rsidRDefault="0078312E">
                                <w:pPr>
                                  <w:pStyle w:val="NormalWeb"/>
                                  <w:spacing w:before="0" w:beforeAutospacing="0" w:after="0" w:afterAutospacing="0"/>
                                  <w:jc w:val="center"/>
                                  <w:textAlignment w:val="baseline"/>
                                  <w:rPr>
                                    <w:rFonts w:ascii="Helvetica" w:hAnsi="Helvetica" w:cs="Arial"/>
                                    <w:sz w:val="18"/>
                                  </w:rPr>
                                </w:pPr>
                                <w:r>
                                  <w:rPr>
                                    <w:rFonts w:ascii="Helvetica" w:eastAsia="MS Mincho" w:hAnsi="Helvetica" w:cs="Arial"/>
                                    <w:b/>
                                    <w:bCs/>
                                    <w:color w:val="000000"/>
                                    <w:kern w:val="24"/>
                                    <w:sz w:val="22"/>
                                    <w:szCs w:val="28"/>
                                  </w:rPr>
                                  <w:t>O</w:t>
                                </w:r>
                                <w:r>
                                  <w:rPr>
                                    <w:rFonts w:ascii="Helvetica" w:eastAsia="MS Mincho" w:hAnsi="Helvetica" w:cs="Arial"/>
                                    <w:b/>
                                    <w:bCs/>
                                    <w:caps/>
                                    <w:color w:val="000000"/>
                                    <w:kern w:val="24"/>
                                    <w:sz w:val="16"/>
                                    <w:szCs w:val="22"/>
                                  </w:rPr>
                                  <w:t>ff/</w:t>
                                </w:r>
                                <w:r>
                                  <w:rPr>
                                    <w:rFonts w:ascii="Helvetica" w:eastAsia="MS Mincho" w:hAnsi="Helvetica" w:cs="Arial"/>
                                    <w:b/>
                                    <w:bCs/>
                                    <w:color w:val="000000"/>
                                    <w:kern w:val="24"/>
                                    <w:sz w:val="22"/>
                                    <w:szCs w:val="28"/>
                                  </w:rPr>
                                  <w:t>S</w:t>
                                </w:r>
                                <w:r>
                                  <w:rPr>
                                    <w:rFonts w:ascii="Helvetica" w:eastAsia="MS Mincho" w:hAnsi="Helvetica" w:cs="Arial"/>
                                    <w:b/>
                                    <w:bCs/>
                                    <w:color w:val="000000"/>
                                    <w:kern w:val="24"/>
                                    <w:sz w:val="16"/>
                                    <w:szCs w:val="22"/>
                                  </w:rPr>
                                  <w:t>URVIVAL*</w:t>
                                </w:r>
                              </w:p>
                            </w:txbxContent>
                          </wps:txbx>
                          <wps:bodyPr vert="horz" wrap="square" lIns="91440" tIns="91440" rIns="91440" bIns="91440" numCol="1" anchor="ctr" anchorCtr="0" compatLnSpc="1">
                            <a:prstTxWarp prst="textNoShape">
                              <a:avLst/>
                            </a:prstTxWarp>
                          </wps:bodyPr>
                        </wps:wsp>
                        <wps:wsp>
                          <wps:cNvPr id="18" name="Rectangle 18"/>
                          <wps:cNvSpPr>
                            <a:spLocks noChangeArrowheads="1"/>
                          </wps:cNvSpPr>
                          <wps:spPr bwMode="auto">
                            <a:xfrm>
                              <a:off x="2167334" y="28243"/>
                              <a:ext cx="2160" cy="1080"/>
                            </a:xfrm>
                            <a:prstGeom prst="rect">
                              <a:avLst/>
                            </a:prstGeom>
                            <a:noFill/>
                            <a:ln w="38100">
                              <a:solidFill>
                                <a:srgbClr val="243F60"/>
                              </a:solidFill>
                              <a:miter lim="800000"/>
                              <a:headEnd/>
                              <a:tailEnd/>
                            </a:ln>
                            <a:effectLst/>
                          </wps:spPr>
                          <wps:txbx>
                            <w:txbxContent>
                              <w:p w14:paraId="55F6FB22" w14:textId="77777777" w:rsidR="00DB15E9" w:rsidRDefault="0078312E">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244061"/>
                                    <w:kern w:val="24"/>
                                    <w:szCs w:val="28"/>
                                  </w:rPr>
                                  <w:t>I</w:t>
                                </w:r>
                                <w:r>
                                  <w:rPr>
                                    <w:rFonts w:ascii="Helvetica" w:eastAsia="MS Mincho" w:hAnsi="Helvetica" w:cs="Arial"/>
                                    <w:b/>
                                    <w:bCs/>
                                    <w:color w:val="244061"/>
                                    <w:kern w:val="24"/>
                                    <w:sz w:val="18"/>
                                    <w:szCs w:val="22"/>
                                  </w:rPr>
                                  <w:t>NITIALIZATION</w:t>
                                </w:r>
                              </w:p>
                            </w:txbxContent>
                          </wps:txbx>
                          <wps:bodyPr vert="horz" wrap="square" lIns="91440" tIns="91440" rIns="91440" bIns="91440" numCol="1" anchor="ctr" anchorCtr="0" compatLnSpc="1">
                            <a:prstTxWarp prst="textNoShape">
                              <a:avLst/>
                            </a:prstTxWarp>
                          </wps:bodyPr>
                        </wps:wsp>
                        <wps:wsp>
                          <wps:cNvPr id="20" name="Rectangle 20"/>
                          <wps:cNvSpPr>
                            <a:spLocks noChangeArrowheads="1"/>
                          </wps:cNvSpPr>
                          <wps:spPr bwMode="auto">
                            <a:xfrm>
                              <a:off x="2170584" y="26803"/>
                              <a:ext cx="2150" cy="1080"/>
                            </a:xfrm>
                            <a:prstGeom prst="rect">
                              <a:avLst/>
                            </a:prstGeom>
                            <a:noFill/>
                            <a:ln w="38100">
                              <a:solidFill>
                                <a:srgbClr val="622423"/>
                              </a:solidFill>
                              <a:miter lim="800000"/>
                              <a:headEnd/>
                              <a:tailEnd/>
                            </a:ln>
                            <a:effectLst/>
                          </wps:spPr>
                          <wps:txbx>
                            <w:txbxContent>
                              <w:p w14:paraId="3512AE3C" w14:textId="77777777" w:rsidR="00DB15E9" w:rsidRDefault="0078312E">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632423"/>
                                    <w:kern w:val="24"/>
                                    <w:szCs w:val="28"/>
                                  </w:rPr>
                                  <w:t>S</w:t>
                                </w:r>
                                <w:r>
                                  <w:rPr>
                                    <w:rFonts w:ascii="Helvetica" w:eastAsia="MS Mincho" w:hAnsi="Helvetica" w:cs="Arial"/>
                                    <w:b/>
                                    <w:bCs/>
                                    <w:color w:val="632423"/>
                                    <w:kern w:val="24"/>
                                    <w:sz w:val="18"/>
                                    <w:szCs w:val="22"/>
                                  </w:rPr>
                                  <w:t>AFE</w:t>
                                </w:r>
                              </w:p>
                            </w:txbxContent>
                          </wps:txbx>
                          <wps:bodyPr vert="horz" wrap="square" lIns="91440" tIns="91440" rIns="91440" bIns="91440" numCol="1" anchor="ctr" anchorCtr="0" compatLnSpc="1">
                            <a:prstTxWarp prst="textNoShape">
                              <a:avLst/>
                            </a:prstTxWarp>
                          </wps:bodyPr>
                        </wps:wsp>
                        <wps:wsp>
                          <wps:cNvPr id="21" name="Rectangle 21"/>
                          <wps:cNvSpPr>
                            <a:spLocks noChangeArrowheads="1"/>
                          </wps:cNvSpPr>
                          <wps:spPr bwMode="auto">
                            <a:xfrm>
                              <a:off x="2170584" y="29683"/>
                              <a:ext cx="2150" cy="1080"/>
                            </a:xfrm>
                            <a:prstGeom prst="rect">
                              <a:avLst/>
                            </a:prstGeom>
                            <a:noFill/>
                            <a:ln w="38100">
                              <a:solidFill>
                                <a:srgbClr val="4E6128"/>
                              </a:solidFill>
                              <a:miter lim="800000"/>
                              <a:headEnd/>
                              <a:tailEnd/>
                            </a:ln>
                            <a:effectLst/>
                          </wps:spPr>
                          <wps:txbx>
                            <w:txbxContent>
                              <w:p w14:paraId="74E31D21" w14:textId="77777777" w:rsidR="00DB15E9" w:rsidRDefault="0078312E">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4F6228"/>
                                    <w:kern w:val="24"/>
                                    <w:szCs w:val="28"/>
                                  </w:rPr>
                                  <w:t>O</w:t>
                                </w:r>
                                <w:r>
                                  <w:rPr>
                                    <w:rFonts w:ascii="Helvetica" w:eastAsia="MS Mincho" w:hAnsi="Helvetica" w:cs="Arial"/>
                                    <w:b/>
                                    <w:bCs/>
                                    <w:color w:val="4F6228"/>
                                    <w:kern w:val="24"/>
                                    <w:sz w:val="18"/>
                                    <w:szCs w:val="22"/>
                                  </w:rPr>
                                  <w:t>PERATION</w:t>
                                </w:r>
                              </w:p>
                            </w:txbxContent>
                          </wps:txbx>
                          <wps:bodyPr vert="horz" wrap="square" lIns="91440" tIns="91440" rIns="91440" bIns="91440" numCol="1" anchor="ctr" anchorCtr="0" compatLnSpc="1">
                            <a:prstTxWarp prst="textNoShape">
                              <a:avLst/>
                            </a:prstTxWarp>
                          </wps:bodyPr>
                        </wps:wsp>
                        <wps:wsp>
                          <wps:cNvPr id="22" name="Line 13"/>
                          <wps:cNvCnPr/>
                          <wps:spPr bwMode="auto">
                            <a:xfrm>
                              <a:off x="2166614" y="28754"/>
                              <a:ext cx="720" cy="0"/>
                            </a:xfrm>
                            <a:prstGeom prst="line">
                              <a:avLst/>
                            </a:prstGeom>
                            <a:noFill/>
                            <a:ln w="38100">
                              <a:solidFill>
                                <a:srgbClr val="000000"/>
                              </a:solidFill>
                              <a:round/>
                              <a:headEnd type="triangle" w="med" len="med"/>
                              <a:tailEnd type="triangle" w="med" len="med"/>
                            </a:ln>
                            <a:effectLst/>
                          </wps:spPr>
                          <wps:bodyPr/>
                        </wps:wsp>
                        <wps:wsp>
                          <wps:cNvPr id="23" name="Line 14"/>
                          <wps:cNvCnPr/>
                          <wps:spPr bwMode="auto">
                            <a:xfrm flipH="1" flipV="1">
                              <a:off x="2170934" y="27883"/>
                              <a:ext cx="0" cy="739"/>
                            </a:xfrm>
                            <a:prstGeom prst="line">
                              <a:avLst/>
                            </a:prstGeom>
                            <a:noFill/>
                            <a:ln w="38100">
                              <a:solidFill>
                                <a:srgbClr val="000000"/>
                              </a:solidFill>
                              <a:round/>
                              <a:headEnd/>
                              <a:tailEnd type="triangle" w="med" len="med"/>
                            </a:ln>
                            <a:effectLst/>
                          </wps:spPr>
                          <wps:bodyPr/>
                        </wps:wsp>
                        <wps:wsp>
                          <wps:cNvPr id="25" name="Line 15"/>
                          <wps:cNvCnPr/>
                          <wps:spPr bwMode="auto">
                            <a:xfrm>
                              <a:off x="2169494" y="28603"/>
                              <a:ext cx="1440" cy="0"/>
                            </a:xfrm>
                            <a:prstGeom prst="line">
                              <a:avLst/>
                            </a:prstGeom>
                            <a:noFill/>
                            <a:ln w="38100">
                              <a:solidFill>
                                <a:srgbClr val="000000"/>
                              </a:solidFill>
                              <a:round/>
                              <a:headEnd/>
                              <a:tailEnd/>
                            </a:ln>
                            <a:effectLst/>
                          </wps:spPr>
                          <wps:bodyPr/>
                        </wps:wsp>
                        <wps:wsp>
                          <wps:cNvPr id="29" name="Line 16"/>
                          <wps:cNvCnPr/>
                          <wps:spPr bwMode="auto">
                            <a:xfrm flipH="1">
                              <a:off x="2165534" y="27438"/>
                              <a:ext cx="5040" cy="0"/>
                            </a:xfrm>
                            <a:prstGeom prst="line">
                              <a:avLst/>
                            </a:prstGeom>
                            <a:noFill/>
                            <a:ln w="38100">
                              <a:solidFill>
                                <a:srgbClr val="000000"/>
                              </a:solidFill>
                              <a:round/>
                              <a:headEnd/>
                              <a:tailEnd/>
                            </a:ln>
                            <a:effectLst/>
                          </wps:spPr>
                          <wps:bodyPr/>
                        </wps:wsp>
                        <wps:wsp>
                          <wps:cNvPr id="30" name="Line 17"/>
                          <wps:cNvCnPr/>
                          <wps:spPr bwMode="auto">
                            <a:xfrm>
                              <a:off x="2171654" y="27883"/>
                              <a:ext cx="0" cy="1800"/>
                            </a:xfrm>
                            <a:prstGeom prst="line">
                              <a:avLst/>
                            </a:prstGeom>
                            <a:noFill/>
                            <a:ln w="38100">
                              <a:solidFill>
                                <a:srgbClr val="000000"/>
                              </a:solidFill>
                              <a:round/>
                              <a:headEnd type="triangle" w="med" len="med"/>
                              <a:tailEnd type="triangle" w="med" len="med"/>
                            </a:ln>
                            <a:effectLst/>
                          </wps:spPr>
                          <wps:bodyPr/>
                        </wps:wsp>
                        <wps:wsp>
                          <wps:cNvPr id="31" name="Line 18"/>
                          <wps:cNvCnPr/>
                          <wps:spPr bwMode="auto">
                            <a:xfrm>
                              <a:off x="2165534" y="27420"/>
                              <a:ext cx="0" cy="809"/>
                            </a:xfrm>
                            <a:prstGeom prst="line">
                              <a:avLst/>
                            </a:prstGeom>
                            <a:noFill/>
                            <a:ln w="38100">
                              <a:solidFill>
                                <a:srgbClr val="000000"/>
                              </a:solidFill>
                              <a:round/>
                              <a:headEnd/>
                              <a:tailEnd type="triangle" w="med" len="med"/>
                            </a:ln>
                            <a:effectLst/>
                          </wps:spPr>
                          <wps:bodyPr/>
                        </wps:wsp>
                        <wps:wsp>
                          <wps:cNvPr id="36" name="Line 19"/>
                          <wps:cNvCnPr/>
                          <wps:spPr bwMode="auto">
                            <a:xfrm flipH="1">
                              <a:off x="2165534" y="30043"/>
                              <a:ext cx="5040" cy="0"/>
                            </a:xfrm>
                            <a:prstGeom prst="line">
                              <a:avLst/>
                            </a:prstGeom>
                            <a:noFill/>
                            <a:ln w="38100">
                              <a:solidFill>
                                <a:srgbClr val="000000"/>
                              </a:solidFill>
                              <a:round/>
                              <a:headEnd/>
                              <a:tailEnd/>
                            </a:ln>
                            <a:effectLst/>
                          </wps:spPr>
                          <wps:bodyPr/>
                        </wps:wsp>
                        <wps:wsp>
                          <wps:cNvPr id="39" name="Line 20"/>
                          <wps:cNvCnPr/>
                          <wps:spPr bwMode="auto">
                            <a:xfrm>
                              <a:off x="2165534" y="29341"/>
                              <a:ext cx="0" cy="720"/>
                            </a:xfrm>
                            <a:prstGeom prst="line">
                              <a:avLst/>
                            </a:prstGeom>
                            <a:noFill/>
                            <a:ln w="38100">
                              <a:solidFill>
                                <a:srgbClr val="000000"/>
                              </a:solidFill>
                              <a:round/>
                              <a:headEnd type="triangle" w="med" len="med"/>
                              <a:tailEnd/>
                            </a:ln>
                            <a:effectLst/>
                          </wps:spPr>
                          <wps:bodyPr/>
                        </wps:wsp>
                        <wps:wsp>
                          <wps:cNvPr id="45" name="Line 21"/>
                          <wps:cNvCnPr/>
                          <wps:spPr bwMode="auto">
                            <a:xfrm>
                              <a:off x="2169494" y="28963"/>
                              <a:ext cx="1440" cy="0"/>
                            </a:xfrm>
                            <a:prstGeom prst="line">
                              <a:avLst/>
                            </a:prstGeom>
                            <a:noFill/>
                            <a:ln w="38100">
                              <a:solidFill>
                                <a:srgbClr val="000000"/>
                              </a:solidFill>
                              <a:round/>
                              <a:headEnd/>
                              <a:tailEnd/>
                            </a:ln>
                            <a:effectLst/>
                          </wps:spPr>
                          <wps:bodyPr/>
                        </wps:wsp>
                        <wps:wsp>
                          <wps:cNvPr id="46" name="Line 22"/>
                          <wps:cNvCnPr/>
                          <wps:spPr bwMode="auto">
                            <a:xfrm flipH="1" flipV="1">
                              <a:off x="2170934" y="28939"/>
                              <a:ext cx="0" cy="739"/>
                            </a:xfrm>
                            <a:prstGeom prst="line">
                              <a:avLst/>
                            </a:prstGeom>
                            <a:noFill/>
                            <a:ln w="38100">
                              <a:solidFill>
                                <a:srgbClr val="000000"/>
                              </a:solidFill>
                              <a:round/>
                              <a:headEnd type="triangle" w="med" len="med"/>
                              <a:tailEnd/>
                            </a:ln>
                            <a:effectLst/>
                          </wps:spPr>
                          <wps:bodyPr/>
                        </wps:wsp>
                      </wpg:grpSp>
                      <wps:wsp>
                        <wps:cNvPr id="47" name="Text Box 26"/>
                        <wps:cNvSpPr txBox="1">
                          <a:spLocks noChangeArrowheads="1"/>
                        </wps:cNvSpPr>
                        <wps:spPr bwMode="auto">
                          <a:xfrm>
                            <a:off x="2822972" y="0"/>
                            <a:ext cx="3376674" cy="452440"/>
                          </a:xfrm>
                          <a:prstGeom prst="rect">
                            <a:avLst/>
                          </a:prstGeom>
                          <a:noFill/>
                          <a:ln w="9525">
                            <a:noFill/>
                            <a:miter lim="800000"/>
                            <a:headEnd/>
                            <a:tailEnd/>
                          </a:ln>
                        </wps:spPr>
                        <wps:txbx>
                          <w:txbxContent>
                            <w:p w14:paraId="2FD29D77" w14:textId="77777777" w:rsidR="00DB15E9" w:rsidRDefault="00DB15E9">
                              <w:pPr>
                                <w:rPr>
                                  <w:rFonts w:ascii="Helvetica" w:hAnsi="Helvetica"/>
                                </w:rPr>
                              </w:pPr>
                            </w:p>
                          </w:txbxContent>
                        </wps:txbx>
                        <wps:bodyPr vert="horz" wrap="square" lIns="91440" tIns="45720" rIns="91440" bIns="45720" numCol="1" anchor="t" anchorCtr="0" compatLnSpc="1">
                          <a:prstTxWarp prst="textNoShape">
                            <a:avLst/>
                          </a:prstTxWarp>
                          <a:spAutoFit/>
                        </wps:bodyPr>
                      </wps:wsp>
                      <wpg:grpSp>
                        <wpg:cNvPr id="49" name="Group 49"/>
                        <wpg:cNvGrpSpPr/>
                        <wpg:grpSpPr>
                          <a:xfrm>
                            <a:off x="56950" y="180171"/>
                            <a:ext cx="2524814" cy="763036"/>
                            <a:chOff x="56950" y="180171"/>
                            <a:chExt cx="2524814" cy="763036"/>
                          </a:xfrm>
                        </wpg:grpSpPr>
                        <wps:wsp>
                          <wps:cNvPr id="50" name="TextBox 27"/>
                          <wps:cNvSpPr txBox="1"/>
                          <wps:spPr>
                            <a:xfrm>
                              <a:off x="244003" y="180171"/>
                              <a:ext cx="2337761" cy="763036"/>
                            </a:xfrm>
                            <a:prstGeom prst="rect">
                              <a:avLst/>
                            </a:prstGeom>
                            <a:noFill/>
                            <a:ln>
                              <a:noFill/>
                            </a:ln>
                          </wps:spPr>
                          <wps:txbx>
                            <w:txbxContent>
                              <w:p w14:paraId="2C286DBF" w14:textId="77777777" w:rsidR="00DB15E9" w:rsidRDefault="0078312E">
                                <w:pPr>
                                  <w:rPr>
                                    <w:rFonts w:ascii="Helvetica" w:hAnsi="Helvetica"/>
                                  </w:rPr>
                                </w:pPr>
                                <w:r>
                                  <w:rPr>
                                    <w:rFonts w:ascii="Helvetica" w:hAnsi="Helvetica"/>
                                  </w:rPr>
                                  <w:t>Instrument Unpowered</w:t>
                                </w:r>
                              </w:p>
                              <w:p w14:paraId="2606F0E2" w14:textId="77777777" w:rsidR="00DB15E9" w:rsidRDefault="0078312E">
                                <w:pPr>
                                  <w:rPr>
                                    <w:rFonts w:ascii="Helvetica" w:hAnsi="Helvetica"/>
                                  </w:rPr>
                                </w:pPr>
                                <w:r>
                                  <w:rPr>
                                    <w:rFonts w:ascii="Helvetica" w:hAnsi="Helvetica"/>
                                  </w:rPr>
                                  <w:t>Instrument Powered</w:t>
                                </w:r>
                              </w:p>
                            </w:txbxContent>
                          </wps:txbx>
                          <wps:bodyPr wrap="square" rtlCol="0">
                            <a:spAutoFit/>
                          </wps:bodyPr>
                        </wps:wsp>
                        <wps:wsp>
                          <wps:cNvPr id="53" name="Straight Connector 53"/>
                          <wps:cNvCnPr/>
                          <wps:spPr>
                            <a:xfrm>
                              <a:off x="56950" y="636404"/>
                              <a:ext cx="19374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61252" y="407804"/>
                              <a:ext cx="182880" cy="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46" o:spid="_x0000_s1026" style="width:464.5pt;height:149.85pt;mso-position-horizontal-relative:char;mso-position-vertical-relative:line" coordorigin="569" coordsize="75939,2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">
                <o:lock v:ext="edit" aspectratio="t"/>
                <v:group id="Group 15" o:spid="_x0000_s1027" style="position:absolute;left:21644;top:267;width:54864;height:24162" coordorigin="21644,268" coordsize="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28" style="position:absolute;left:21644;top:282;width:22;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gJMMA&#10;AADbAAAADwAAAGRycy9kb3ducmV2LnhtbERPPW/CMBDdK/U/WFepW3FgiGiKQQXUCjGgAl26nexr&#10;EjU+B9tNwr/HSEhs9/Q+b7YYbCM68qF2rGA8ykAQa2dqLhV8Hz9epiBCRDbYOCYFZwqwmD8+zLAw&#10;ruc9dYdYihTCoUAFVYxtIWXQFVkMI9cSJ+7XeYsxQV9K47FP4baRkyzLpcWaU0OFLa0q0n+Hf6vg&#10;51V/ZtvxdN2fdvVWL7+6Ze6lUs9Pw/sbiEhDvItv7o1J83O4/pIO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gJMMAAADbAAAADwAAAAAAAAAAAAAAAACYAgAAZHJzL2Rv&#10;d25yZXYueG1sUEsFBgAAAAAEAAQA9QAAAIgDAAAAAA==&#10;" filled="f" strokeweight="3pt">
                    <v:stroke dashstyle="dash"/>
                    <v:textbox inset=",7.2pt,,7.2pt">
                      <w:txbxContent>
                        <w:p>
                          <w:pPr>
                            <w:pStyle w:val="NormalWeb"/>
                            <w:spacing w:before="0" w:beforeAutospacing="0" w:after="0" w:afterAutospacing="0"/>
                            <w:jc w:val="center"/>
                            <w:textAlignment w:val="baseline"/>
                            <w:rPr>
                              <w:rFonts w:ascii="Helvetica" w:hAnsi="Helvetica" w:cs="Arial"/>
                              <w:sz w:val="18"/>
                            </w:rPr>
                          </w:pPr>
                          <w:r>
                            <w:rPr>
                              <w:rFonts w:ascii="Helvetica" w:eastAsia="MS Mincho" w:hAnsi="Helvetica" w:cs="Arial"/>
                              <w:b/>
                              <w:bCs/>
                              <w:color w:val="000000"/>
                              <w:kern w:val="24"/>
                              <w:sz w:val="22"/>
                              <w:szCs w:val="28"/>
                            </w:rPr>
                            <w:t>O</w:t>
                          </w:r>
                          <w:r>
                            <w:rPr>
                              <w:rFonts w:ascii="Helvetica" w:eastAsia="MS Mincho" w:hAnsi="Helvetica" w:cs="Arial"/>
                              <w:b/>
                              <w:bCs/>
                              <w:caps/>
                              <w:color w:val="000000"/>
                              <w:kern w:val="24"/>
                              <w:sz w:val="16"/>
                              <w:szCs w:val="22"/>
                            </w:rPr>
                            <w:t>ff/</w:t>
                          </w:r>
                          <w:r>
                            <w:rPr>
                              <w:rFonts w:ascii="Helvetica" w:eastAsia="MS Mincho" w:hAnsi="Helvetica" w:cs="Arial"/>
                              <w:b/>
                              <w:bCs/>
                              <w:color w:val="000000"/>
                              <w:kern w:val="24"/>
                              <w:sz w:val="22"/>
                              <w:szCs w:val="28"/>
                            </w:rPr>
                            <w:t>S</w:t>
                          </w:r>
                          <w:r>
                            <w:rPr>
                              <w:rFonts w:ascii="Helvetica" w:eastAsia="MS Mincho" w:hAnsi="Helvetica" w:cs="Arial"/>
                              <w:b/>
                              <w:bCs/>
                              <w:color w:val="000000"/>
                              <w:kern w:val="24"/>
                              <w:sz w:val="16"/>
                              <w:szCs w:val="22"/>
                            </w:rPr>
                            <w:t>URVIVAL*</w:t>
                          </w:r>
                        </w:p>
                      </w:txbxContent>
                    </v:textbox>
                  </v:rect>
                  <v:rect id="Rectangle 18" o:spid="_x0000_s1029" style="position:absolute;left:21673;top:282;width:21;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yjMUA&#10;AADbAAAADwAAAGRycy9kb3ducmV2LnhtbESPQW/CMAyF75P4D5GRuI0UDmgqBDQNgcaBwxiVdrQa&#10;t+lonKrJoPDr58Ok3Wy95/c+rzaDb9WV+tgENjCbZqCIy2Abrg2cP3fPL6BiQrbYBiYDd4qwWY+e&#10;VpjbcOMPup5SrSSEY44GXEpdrnUsHXmM09ARi1aF3mOSta+17fEm4b7V8yxbaI8NS4PDjt4clZfT&#10;jzcwzGfYbF1RHb8uu0NWFY990X4bMxkPr0tQiYb0b/67freCL7D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bKMxQAAANsAAAAPAAAAAAAAAAAAAAAAAJgCAABkcnMv&#10;ZG93bnJldi54bWxQSwUGAAAAAAQABAD1AAAAigMAAAAA&#10;" filled="f" strokecolor="#243f60" strokeweight="3pt">
                    <v:textbox inset=",7.2pt,,7.2pt">
                      <w:txbxContent>
                        <w:p>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244061"/>
                              <w:kern w:val="24"/>
                              <w:szCs w:val="28"/>
                            </w:rPr>
                            <w:t>I</w:t>
                          </w:r>
                          <w:r>
                            <w:rPr>
                              <w:rFonts w:ascii="Helvetica" w:eastAsia="MS Mincho" w:hAnsi="Helvetica" w:cs="Arial"/>
                              <w:b/>
                              <w:bCs/>
                              <w:color w:val="244061"/>
                              <w:kern w:val="24"/>
                              <w:sz w:val="18"/>
                              <w:szCs w:val="22"/>
                            </w:rPr>
                            <w:t>NITIALIZATION</w:t>
                          </w:r>
                        </w:p>
                      </w:txbxContent>
                    </v:textbox>
                  </v:rect>
                  <v:rect id="Rectangle 20" o:spid="_x0000_s1030" style="position:absolute;left:21705;top:268;width:22;height: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8t7wA&#10;AADbAAAADwAAAGRycy9kb3ducmV2LnhtbERPzYrCMBC+C75DGMGbpnqQpRpFBEXW03b3AYZmbIrJ&#10;pCTRtm+/OQgeP77/3WFwVrwoxNazgtWyAEFce91yo+Dv97z4AhETskbrmRSMFOGwn052WGrf8w+9&#10;qtSIHMKxRAUmpa6UMtaGHMal74gzd/fBYcowNFIH7HO4s3JdFBvpsOXcYLCjk6H6UT2dAmtH1pfz&#10;M5xucvzuN4ardGWl5rPhuAWRaEgf8dt91QrWeX3+kn+A3P8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pPy3vAAAANsAAAAPAAAAAAAAAAAAAAAAAJgCAABkcnMvZG93bnJldi54&#10;bWxQSwUGAAAAAAQABAD1AAAAgQMAAAAA&#10;" filled="f" strokecolor="#622423" strokeweight="3pt">
                    <v:textbox inset=",7.2pt,,7.2pt">
                      <w:txbxContent>
                        <w:p>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632423"/>
                              <w:kern w:val="24"/>
                              <w:szCs w:val="28"/>
                            </w:rPr>
                            <w:t>S</w:t>
                          </w:r>
                          <w:r>
                            <w:rPr>
                              <w:rFonts w:ascii="Helvetica" w:eastAsia="MS Mincho" w:hAnsi="Helvetica" w:cs="Arial"/>
                              <w:b/>
                              <w:bCs/>
                              <w:color w:val="632423"/>
                              <w:kern w:val="24"/>
                              <w:sz w:val="18"/>
                              <w:szCs w:val="22"/>
                            </w:rPr>
                            <w:t>AFE</w:t>
                          </w:r>
                        </w:p>
                      </w:txbxContent>
                    </v:textbox>
                  </v:rect>
                  <v:rect id="Rectangle 21" o:spid="_x0000_s1031" style="position:absolute;left:21705;top:296;width:22;height: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4kMIA&#10;AADbAAAADwAAAGRycy9kb3ducmV2LnhtbESPQYvCMBSE7wv+h/CEva2pHpZSG0UEUcQ96Irg7dE8&#10;22LzEptou//eCMIeh5n5hsnnvWnEg1pfW1YwHiUgiAuray4VHH9XXykIH5A1NpZJwR95mM8GHzlm&#10;2na8p8chlCJC2GeooArBZVL6oiKDfmQdcfQutjUYomxLqVvsItw0cpIk39JgzXGhQkfLiorr4W4U&#10;nLqFv7l1irtlZy6pPW+TH4dKfQ77xRREoD78h9/tjVYwGcP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TiQwgAAANsAAAAPAAAAAAAAAAAAAAAAAJgCAABkcnMvZG93&#10;bnJldi54bWxQSwUGAAAAAAQABAD1AAAAhwMAAAAA&#10;" filled="f" strokecolor="#4e6128" strokeweight="3pt">
                    <v:textbox inset=",7.2pt,,7.2pt">
                      <w:txbxContent>
                        <w:p>
                          <w:pPr>
                            <w:pStyle w:val="NormalWeb"/>
                            <w:spacing w:before="0" w:beforeAutospacing="0" w:after="0" w:afterAutospacing="0"/>
                            <w:jc w:val="center"/>
                            <w:textAlignment w:val="baseline"/>
                            <w:rPr>
                              <w:rFonts w:ascii="Helvetica" w:hAnsi="Helvetica" w:cs="Arial"/>
                              <w:sz w:val="20"/>
                            </w:rPr>
                          </w:pPr>
                          <w:r>
                            <w:rPr>
                              <w:rFonts w:ascii="Helvetica" w:eastAsia="MS Mincho" w:hAnsi="Helvetica" w:cs="Arial"/>
                              <w:b/>
                              <w:bCs/>
                              <w:color w:val="4F6228"/>
                              <w:kern w:val="24"/>
                              <w:szCs w:val="28"/>
                            </w:rPr>
                            <w:t>O</w:t>
                          </w:r>
                          <w:r>
                            <w:rPr>
                              <w:rFonts w:ascii="Helvetica" w:eastAsia="MS Mincho" w:hAnsi="Helvetica" w:cs="Arial"/>
                              <w:b/>
                              <w:bCs/>
                              <w:color w:val="4F6228"/>
                              <w:kern w:val="24"/>
                              <w:sz w:val="18"/>
                              <w:szCs w:val="22"/>
                            </w:rPr>
                            <w:t>PERATION</w:t>
                          </w:r>
                        </w:p>
                      </w:txbxContent>
                    </v:textbox>
                  </v:rect>
                  <v:line id="Line 13" o:spid="_x0000_s1032" style="position:absolute;visibility:visible;mso-wrap-style:square" from="21666,287" to="2167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ASsMAAADbAAAADwAAAGRycy9kb3ducmV2LnhtbESPUWvCQBCE3wv9D8cWfKuX5qFI9JTS&#10;UkxBKBp/wJJbc8HcXppbY/z3XqHQx2FmvmFWm8l3aqQhtoENvMwzUMR1sC03Bo7V5/MCVBRki11g&#10;MnCjCJv148MKCxuuvKfxII1KEI4FGnAifaF1rB15jPPQEyfvFAaPkuTQaDvgNcF9p/Mse9UeW04L&#10;Dnt6d1SfDxdv4DwtXHnS3/uvbfnxU1W7EUW0MbOn6W0JSmiS//Bfu7QG8hx+v6Qfo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kwErDAAAA2wAAAA8AAAAAAAAAAAAA&#10;AAAAoQIAAGRycy9kb3ducmV2LnhtbFBLBQYAAAAABAAEAPkAAACRAwAAAAA=&#10;" strokeweight="3pt">
                    <v:stroke startarrow="block" endarrow="block"/>
                  </v:line>
                  <v:line id="Line 14" o:spid="_x0000_s1033" style="position:absolute;flip:x y;visibility:visible;mso-wrap-style:square" from="21709,278" to="2170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IR8IAAADbAAAADwAAAGRycy9kb3ducmV2LnhtbESPT4vCMBDF7wt+hzCCtzX1D4tUo4gi&#10;ipdlVfA6NGNbbSYlSbV+e7MgeHy8eb83b7ZoTSXu5HxpWcGgn4AgzqwuOVdwOm6+JyB8QNZYWSYF&#10;T/KwmHe+Zphq++A/uh9CLiKEfYoKihDqVEqfFWTQ921NHL2LdQZDlC6X2uEjwk0lh0nyIw2WHBsK&#10;rGlVUHY7NCa+UbnVfjTRt3HzS2G7xnMzvp6V6nXb5RREoDZ8jt/pnVYwHMH/lgg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RIR8IAAADbAAAADwAAAAAAAAAAAAAA&#10;AAChAgAAZHJzL2Rvd25yZXYueG1sUEsFBgAAAAAEAAQA+QAAAJADAAAAAA==&#10;" strokeweight="3pt">
                    <v:stroke endarrow="block"/>
                  </v:line>
                  <v:line id="Line 15" o:spid="_x0000_s1034" style="position:absolute;visibility:visible;mso-wrap-style:square" from="21694,286" to="2170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qUMMAAADbAAAADwAAAGRycy9kb3ducmV2LnhtbESPwWrDMBBE74X8g9hCbo1ch5b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alDDAAAA2wAAAA8AAAAAAAAAAAAA&#10;AAAAoQIAAGRycy9kb3ducmV2LnhtbFBLBQYAAAAABAAEAPkAAACRAwAAAAA=&#10;" strokeweight="3pt"/>
                  <v:line id="Line 16" o:spid="_x0000_s1035" style="position:absolute;flip:x;visibility:visible;mso-wrap-style:square" from="21655,274" to="2170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rgMMAAADbAAAADwAAAGRycy9kb3ducmV2LnhtbESPQWsCMRSE70L/Q3gFL6Vma7HUrVGq&#10;YJXeasXzY/O6WbrvZZtE3f77Rih4HGbmG2a26LlVJwqx8WLgYVSAIqm8baQ2sP9c3z+DignFYuuF&#10;DPxShMX8ZjDD0vqzfNBpl2qVIRJLNOBS6kqtY+WIMY58R5K9Lx8YU5ah1jbgOcO51eOieNKMjeQF&#10;hx2tHFXfuyMbmLiKt+v95u7nEd9DYubl2+ZgzPC2f30BlahP1/B/e2sNjKdw+ZJ/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a4DDAAAA2wAAAA8AAAAAAAAAAAAA&#10;AAAAoQIAAGRycy9kb3ducmV2LnhtbFBLBQYAAAAABAAEAPkAAACRAwAAAAA=&#10;" strokeweight="3pt"/>
                  <v:line id="Line 17" o:spid="_x0000_s1036" style="position:absolute;visibility:visible;mso-wrap-style:square" from="21716,278" to="2171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te8AAAADbAAAADwAAAGRycy9kb3ducmV2LnhtbERPzWrCQBC+F/oOyxR6qxstiKSuUizS&#10;FATR+ABDdswGs7NpdhrTt3cPgseP73+5Hn2rBupjE9jAdJKBIq6Cbbg2cCq3bwtQUZAttoHJwD9F&#10;WK+en5aY23DlAw1HqVUK4ZijASfS5VrHypHHOAkdceLOofcoCfa1tj1eU7hv9SzL5tpjw6nBYUcb&#10;R9Xl+OcNXMaFK856f/j5Lr5+y3I3oIg25vVl/PwAJTTKQ3x3F9bAe1qfvqQfoF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jbXvAAAAA2wAAAA8AAAAAAAAAAAAAAAAA&#10;oQIAAGRycy9kb3ducmV2LnhtbFBLBQYAAAAABAAEAPkAAACOAwAAAAA=&#10;" strokeweight="3pt">
                    <v:stroke startarrow="block" endarrow="block"/>
                  </v:line>
                  <v:line id="Line 18" o:spid="_x0000_s1037" style="position:absolute;visibility:visible;mso-wrap-style:square" from="21655,274" to="216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Mz8EAAADbAAAADwAAAGRycy9kb3ducmV2LnhtbESPQYvCMBSE7wv+h/AEb2uqwi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UzPwQAAANsAAAAPAAAAAAAAAAAAAAAA&#10;AKECAABkcnMvZG93bnJldi54bWxQSwUGAAAAAAQABAD5AAAAjwMAAAAA&#10;" strokeweight="3pt">
                    <v:stroke endarrow="block"/>
                  </v:line>
                  <v:line id="Line 19" o:spid="_x0000_s1038" style="position:absolute;flip:x;visibility:visible;mso-wrap-style:square" from="21655,300" to="2170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pL8MAAADbAAAADwAAAGRycy9kb3ducmV2LnhtbESPQWsCMRSE74X+h/CEXopmVSplNUor&#10;WKW3WvH82Dw3i/tetknU7b9vCoUeh5n5hlmsem7VlUJsvBgYjwpQJJW3jdQGDp+b4TOomFAstl7I&#10;wDdFWC3v7xZYWn+TD7ruU60yRGKJBlxKXal1rBwxxpHvSLJ38oExZRlqbQPeMpxbPSmKmWZsJC84&#10;7GjtqDrvL2zgyVW82xy2j19TfA+JmV/ftkdjHgb9yxxUoj79h//aO2tgOoPfL/k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SaS/DAAAA2wAAAA8AAAAAAAAAAAAA&#10;AAAAoQIAAGRycy9kb3ducmV2LnhtbFBLBQYAAAAABAAEAPkAAACRAwAAAAA=&#10;" strokeweight="3pt"/>
                  <v:line id="Line 20" o:spid="_x0000_s1039" style="position:absolute;visibility:visible;mso-wrap-style:square" from="21655,293" to="216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VX9sQAAADbAAAADwAAAGRycy9kb3ducmV2LnhtbESPzW7CMBCE75V4B2uReisOtKAmxSBA&#10;QuqlBwcuva3ibX6I1yE2EN6+rlSJ42hmvtEs14NtxZV6XztWMJ0kIIgLZ2ouFRwP+5d3ED4gG2wd&#10;k4I7eVivRk9LzIy7saZrHkoRIewzVFCF0GVS+qIii37iOuLo/bjeYoiyL6Xp8RbhtpWzJFlIizXH&#10;hQo72lVUnPKLVTBvGn1OUef2PE+/mu2bPsy+tVLP42HzASLQEB7h//anUfCawt+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Vf2xAAAANsAAAAPAAAAAAAAAAAA&#10;AAAAAKECAABkcnMvZG93bnJldi54bWxQSwUGAAAAAAQABAD5AAAAkgMAAAAA&#10;" strokeweight="3pt">
                    <v:stroke startarrow="block"/>
                  </v:line>
                  <v:line id="Line 21" o:spid="_x0000_s1040" style="position:absolute;visibility:visible;mso-wrap-style:square" from="21694,289" to="2170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8MMAAADbAAAADwAAAGRycy9kb3ducmV2LnhtbESPQWvCQBSE70L/w/IKvZmNrZYS3Uhb&#10;EDx4MUrp8bH7TEKyb8PuVlN/vVsoeBxm5htmtR5tL87kQ+tYwSzLQRBrZ1quFRwPm+kbiBCRDfaO&#10;ScEvBViXD5MVFsZdeE/nKtYiQTgUqKCJcSikDLohiyFzA3HyTs5bjEn6WhqPlwS3vXzO81dpseW0&#10;0OBAnw3prvqxCqqtPrnri+++vj92Wm/Q77H1Sj09ju9LEJHGeA//t7dGwXwB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j/DDAAAA2wAAAA8AAAAAAAAAAAAA&#10;AAAAoQIAAGRycy9kb3ducmV2LnhtbFBLBQYAAAAABAAEAPkAAACRAwAAAAA=&#10;" strokeweight="3pt"/>
                  <v:line id="Line 22" o:spid="_x0000_s1041" style="position:absolute;flip:x y;visibility:visible;mso-wrap-style:square" from="21709,289" to="217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JYcMAAADbAAAADwAAAGRycy9kb3ducmV2LnhtbESPQWuDQBSE74X+h+UVeqtrmmLFugkx&#10;IE2PMT30+HBfVeK+FXej5t9nC4Uch5n5hsm3i+nFRKPrLCtYRTEI4trqjhsF36fyJQXhPLLG3jIp&#10;uJKD7ebxIcdM25mPNFW+EQHCLkMFrfdDJqWrWzLoIjsQB+/XjgZ9kGMj9YhzgJtevsZxIg12HBZa&#10;HGjfUn2uLkZBkV4+f5CLpPiqzyszvTfr8rpT6vlp2X2A8LT4e/i/fdAK3hL4+xJ+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WHDAAAA2wAAAA8AAAAAAAAAAAAA&#10;AAAAoQIAAGRycy9kb3ducmV2LnhtbFBLBQYAAAAABAAEAPkAAACRAwAAAAA=&#10;" strokeweight="3pt">
                    <v:stroke startarrow="block"/>
                  </v:line>
                </v:group>
                <v:shapetype id="_x0000_t202" coordsize="21600,21600" o:spt="202" path="m,l,21600r21600,l21600,xe">
                  <v:stroke joinstyle="miter"/>
                  <v:path gradientshapeok="t" o:connecttype="rect"/>
                </v:shapetype>
                <v:shape id="Text Box 26" o:spid="_x0000_s1042" type="#_x0000_t202" style="position:absolute;left:28229;width:33767;height:4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pPr>
                          <w:rPr>
                            <w:rFonts w:ascii="Helvetica" w:hAnsi="Helvetica"/>
                          </w:rPr>
                        </w:pPr>
                      </w:p>
                    </w:txbxContent>
                  </v:textbox>
                </v:shape>
                <v:group id="Group 49" o:spid="_x0000_s1043" style="position:absolute;left:569;top:1801;width:25248;height:7631" coordorigin="569,1801" coordsize="25248,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Box 27" o:spid="_x0000_s1044" type="#_x0000_t202" style="position:absolute;left:2440;top:1801;width:23377;height:7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pPr>
                            <w:rPr>
                              <w:rFonts w:ascii="Helvetica" w:hAnsi="Helvetica"/>
                            </w:rPr>
                          </w:pPr>
                          <w:r>
                            <w:rPr>
                              <w:rFonts w:ascii="Helvetica" w:hAnsi="Helvetica"/>
                            </w:rPr>
                            <w:t>Instrument Unpowered</w:t>
                          </w:r>
                        </w:p>
                        <w:p>
                          <w:pPr>
                            <w:rPr>
                              <w:rFonts w:ascii="Helvetica" w:hAnsi="Helvetica"/>
                            </w:rPr>
                          </w:pPr>
                          <w:r>
                            <w:rPr>
                              <w:rFonts w:ascii="Helvetica" w:hAnsi="Helvetica"/>
                            </w:rPr>
                            <w:t>Instrument Powered</w:t>
                          </w:r>
                        </w:p>
                      </w:txbxContent>
                    </v:textbox>
                  </v:shape>
                  <v:line id="Straight Connector 53" o:spid="_x0000_s1045" style="position:absolute;visibility:visible;mso-wrap-style:square" from="569,6364" to="2506,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mXcQAAADbAAAADwAAAGRycy9kb3ducmV2LnhtbESP0WrCQBRE34X+w3KFvulGixKjqxRp&#10;aUEUjH7AJXvNRrN3Q3Zr0r93CwUfh5k5w6w2va3FnVpfOVYwGScgiAunKy4VnE+foxSED8gaa8ek&#10;4Jc8bNYvgxVm2nV8pHseShEh7DNUYEJoMil9YciiH7uGOHoX11oMUbal1C12EW5rOU2SubRYcVww&#10;2NDWUHHLf6yCRThfzcftK93ls1N3mJt9eb1opV6H/fsSRKA+PMP/7W+tYPYGf1/i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qZdxAAAANsAAAAPAAAAAAAAAAAA&#10;AAAAAKECAABkcnMvZG93bnJldi54bWxQSwUGAAAAAAQABAD5AAAAkgMAAAAA&#10;" strokecolor="black [3213]" strokeweight="2pt"/>
                  <v:line id="Straight Connector 54" o:spid="_x0000_s1046" style="position:absolute;flip:y;visibility:visible;mso-wrap-style:square" from="612,4078" to="244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3608IAAADbAAAADwAAAGRycy9kb3ducmV2LnhtbESPQYvCMBSE74L/ITxhL6LpyipSjSIL&#10;ysJeVquIt0fzbIPNS2mi1n+/EQSPw8x8w8yXra3EjRpvHCv4HCYgiHOnDRcK9tl6MAXhA7LGyjEp&#10;eJCH5aLbmWOq3Z23dNuFQkQI+xQVlCHUqZQ+L8miH7qaOHpn11gMUTaF1A3eI9xWcpQkE2nRcFwo&#10;sabvkvLL7mojxTxOhw2ymWbbE/P49/iX9Y9KffTa1QxEoDa8w6/2j1Yw/oL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3608IAAADbAAAADwAAAAAAAAAAAAAA&#10;AAChAgAAZHJzL2Rvd25yZXYueG1sUEsFBgAAAAAEAAQA+QAAAJADAAAAAA==&#10;" strokecolor="black [3213]" strokeweight="2pt">
                    <v:stroke dashstyle="3 1"/>
                  </v:line>
                </v:group>
                <w10:anchorlock/>
              </v:group>
            </w:pict>
          </mc:Fallback>
        </mc:AlternateContent>
      </w:r>
    </w:p>
    <w:p w14:paraId="2D56C87B" w14:textId="77777777" w:rsidR="00DB15E9" w:rsidRDefault="0078312E">
      <w:pPr>
        <w:pStyle w:val="Caption"/>
        <w:rPr>
          <w:rFonts w:ascii="Helvetica" w:hAnsi="Helvetica"/>
        </w:rPr>
      </w:pPr>
      <w:bookmarkStart w:id="471" w:name="_Ref453064844"/>
      <w:bookmarkStart w:id="472" w:name="_Toc453061563"/>
      <w:bookmarkStart w:id="473" w:name="_Toc471911490"/>
      <w:r>
        <w:t>Figure E-</w:t>
      </w:r>
      <w:r w:rsidR="00BA5284">
        <w:fldChar w:fldCharType="begin"/>
      </w:r>
      <w:r w:rsidR="00BA5284">
        <w:instrText xml:space="preserve"> SEQ Figure_E- \* ARABIC </w:instrText>
      </w:r>
      <w:r w:rsidR="00BA5284">
        <w:fldChar w:fldCharType="separate"/>
      </w:r>
      <w:r>
        <w:rPr>
          <w:noProof/>
        </w:rPr>
        <w:t>1</w:t>
      </w:r>
      <w:r w:rsidR="00BA5284">
        <w:rPr>
          <w:noProof/>
        </w:rPr>
        <w:fldChar w:fldCharType="end"/>
      </w:r>
      <w:bookmarkEnd w:id="471"/>
      <w:r>
        <w:rPr>
          <w:rFonts w:ascii="Helvetica" w:hAnsi="Helvetica"/>
        </w:rPr>
        <w:t>:</w:t>
      </w:r>
      <w:r>
        <w:t xml:space="preserve"> </w:t>
      </w:r>
      <w:r>
        <w:rPr>
          <w:rFonts w:ascii="Helvetica" w:hAnsi="Helvetica"/>
        </w:rPr>
        <w:t>Instrument Mode Transitions</w:t>
      </w:r>
      <w:bookmarkEnd w:id="469"/>
      <w:bookmarkEnd w:id="470"/>
      <w:bookmarkEnd w:id="472"/>
      <w:bookmarkEnd w:id="473"/>
    </w:p>
    <w:p w14:paraId="7555CFA0" w14:textId="77777777" w:rsidR="00DB15E9" w:rsidRDefault="0078312E">
      <w:pPr>
        <w:pStyle w:val="UnnumberedHeading3"/>
      </w:pPr>
      <w:bookmarkStart w:id="474" w:name="_Ref308601336"/>
      <w:r>
        <w:rPr>
          <w:smallCaps/>
        </w:rPr>
        <w:t xml:space="preserve">Off/Survival </w:t>
      </w:r>
      <w:r>
        <w:t>Mode</w:t>
      </w:r>
      <w:bookmarkEnd w:id="474"/>
      <w:r>
        <w:t xml:space="preserve">, Survival Heater </w:t>
      </w:r>
      <w:r>
        <w:rPr>
          <w:smallCaps/>
        </w:rPr>
        <w:t>Off</w:t>
      </w:r>
      <w:r>
        <w:t xml:space="preserve"> State</w:t>
      </w:r>
    </w:p>
    <w:p w14:paraId="780B2F1F" w14:textId="77777777" w:rsidR="00DB15E9" w:rsidRDefault="0078312E">
      <w:pPr>
        <w:pStyle w:val="ESSPBodyText"/>
      </w:pPr>
      <w:r>
        <w:t xml:space="preserve">The Instrument is unpowered, and the survival heaters are unpowered in survival heater </w:t>
      </w:r>
      <w:r>
        <w:rPr>
          <w:smallCaps/>
        </w:rPr>
        <w:t>Off</w:t>
      </w:r>
      <w:r>
        <w:t xml:space="preserve"> state of the </w:t>
      </w:r>
      <w:r>
        <w:rPr>
          <w:smallCaps/>
        </w:rPr>
        <w:t>Off/Survival</w:t>
      </w:r>
      <w:r>
        <w:t> mode.</w:t>
      </w:r>
    </w:p>
    <w:p w14:paraId="601BBE28" w14:textId="77777777" w:rsidR="00DB15E9" w:rsidRDefault="0078312E">
      <w:pPr>
        <w:pStyle w:val="UnnumberedHeading4"/>
      </w:pPr>
      <w:r>
        <w:rPr>
          <w:smallCaps/>
        </w:rPr>
        <w:t>Off/Survival</w:t>
      </w:r>
      <w:r>
        <w:t xml:space="preserve"> Mode Power Draw</w:t>
      </w:r>
    </w:p>
    <w:p w14:paraId="235AF527" w14:textId="77777777" w:rsidR="00DB15E9" w:rsidRDefault="0078312E">
      <w:pPr>
        <w:pStyle w:val="ESSPBodyText"/>
      </w:pPr>
      <w:r>
        <w:t xml:space="preserve">The Instrument should draw no operational power while in </w:t>
      </w:r>
      <w:r>
        <w:rPr>
          <w:smallCaps/>
        </w:rPr>
        <w:t>Off</w:t>
      </w:r>
      <w:r>
        <w:t xml:space="preserve"> mode.</w:t>
      </w:r>
    </w:p>
    <w:p w14:paraId="737B8CDE" w14:textId="77777777" w:rsidR="00DB15E9" w:rsidRDefault="0078312E">
      <w:pPr>
        <w:pStyle w:val="UnnumberedHeading4"/>
      </w:pPr>
      <w:r>
        <w:t>Instrument Susceptibility to Unanticipated Power Loss</w:t>
      </w:r>
    </w:p>
    <w:p w14:paraId="65D80739" w14:textId="77777777" w:rsidR="00DB15E9" w:rsidRDefault="0078312E">
      <w:pPr>
        <w:pStyle w:val="ESSPBodyText"/>
      </w:pPr>
      <w:r>
        <w:t>The Instrument should be able to withstand the sudden and immediate removal of operational power by the Host Spacecraft at any time and in any instrument mode.</w:t>
      </w:r>
      <w:r>
        <w:rPr>
          <w:rFonts w:asciiTheme="majorHAnsi" w:hAnsiTheme="majorHAnsi" w:cstheme="majorHAnsi"/>
        </w:rPr>
        <w:t xml:space="preserve"> </w:t>
      </w:r>
      <w:r>
        <w:t>This refers specifically to the sudden removal of operational power without the Instrument first going through an orderly shutdown sequence.</w:t>
      </w:r>
    </w:p>
    <w:p w14:paraId="2B9A092C" w14:textId="77777777" w:rsidR="00DB15E9" w:rsidRDefault="0078312E">
      <w:pPr>
        <w:pStyle w:val="UnnumberedHeading3"/>
      </w:pPr>
      <w:bookmarkStart w:id="475" w:name="_Ref308601344"/>
      <w:r>
        <w:rPr>
          <w:smallCaps/>
        </w:rPr>
        <w:t xml:space="preserve">Off/Survival </w:t>
      </w:r>
      <w:r>
        <w:t xml:space="preserve">Mode, Survival Heater </w:t>
      </w:r>
      <w:r>
        <w:rPr>
          <w:smallCaps/>
        </w:rPr>
        <w:t>On</w:t>
      </w:r>
      <w:r>
        <w:t xml:space="preserve"> State</w:t>
      </w:r>
      <w:bookmarkEnd w:id="475"/>
    </w:p>
    <w:p w14:paraId="4F5EB34D" w14:textId="77777777" w:rsidR="00DB15E9" w:rsidRDefault="0078312E">
      <w:pPr>
        <w:pStyle w:val="ESSPBodyText"/>
      </w:pPr>
      <w:r>
        <w:t xml:space="preserve">The Instrument is unpowered, and the survival heaters are powered-on in the survival heater </w:t>
      </w:r>
      <w:r>
        <w:rPr>
          <w:smallCaps/>
        </w:rPr>
        <w:t>On</w:t>
      </w:r>
      <w:r>
        <w:t xml:space="preserve"> state of the </w:t>
      </w:r>
      <w:r>
        <w:rPr>
          <w:smallCaps/>
        </w:rPr>
        <w:t>Off/Survival</w:t>
      </w:r>
      <w:r>
        <w:t xml:space="preserve"> mode.</w:t>
      </w:r>
    </w:p>
    <w:p w14:paraId="7F117466" w14:textId="77777777" w:rsidR="00DB15E9" w:rsidRDefault="0078312E">
      <w:pPr>
        <w:pStyle w:val="UnnumberedHeading4"/>
      </w:pPr>
      <w:r>
        <w:t>Spacecraft Verification of Instrument Survival Power</w:t>
      </w:r>
    </w:p>
    <w:p w14:paraId="5BAB6EAE" w14:textId="77777777" w:rsidR="00DB15E9" w:rsidRDefault="0078312E">
      <w:pPr>
        <w:pStyle w:val="ESSPBodyText"/>
      </w:pPr>
      <w:r>
        <w:t>The Host Spacecraft should</w:t>
      </w:r>
      <w:r>
        <w:rPr>
          <w:b/>
        </w:rPr>
        <w:t xml:space="preserve"> </w:t>
      </w:r>
      <w:r>
        <w:t xml:space="preserve">verify Instrument survival power is enabled upon entering the survival heater </w:t>
      </w:r>
      <w:r>
        <w:rPr>
          <w:smallCaps/>
        </w:rPr>
        <w:t>On</w:t>
      </w:r>
      <w:r>
        <w:t xml:space="preserve"> state of the </w:t>
      </w:r>
      <w:r>
        <w:rPr>
          <w:smallCaps/>
        </w:rPr>
        <w:t>Off/Survival</w:t>
      </w:r>
      <w:r>
        <w:t xml:space="preserve"> mode.</w:t>
      </w:r>
    </w:p>
    <w:p w14:paraId="5AC1EC57" w14:textId="77777777" w:rsidR="00DB15E9" w:rsidRDefault="0078312E">
      <w:pPr>
        <w:pStyle w:val="UnnumberedHeading4"/>
      </w:pPr>
      <w:r>
        <w:lastRenderedPageBreak/>
        <w:t>Post-Launch Instrument Survival Circuit Initiation</w:t>
      </w:r>
    </w:p>
    <w:p w14:paraId="5C94AB5B" w14:textId="77777777" w:rsidR="00DB15E9" w:rsidRDefault="0078312E">
      <w:pPr>
        <w:pStyle w:val="ESSPBodyText"/>
        <w:rPr>
          <w:i/>
          <w:color w:val="000000"/>
        </w:rPr>
      </w:pPr>
      <w:r>
        <w:t>The Host Spacecraft should enable power to the Instrument survival heater circuit(s) within 60 seconds after spacecraft separation from the launch vehicle, unless precluded by Spacecraft survival.</w:t>
      </w:r>
      <w:r>
        <w:rPr>
          <w:rFonts w:asciiTheme="majorHAnsi" w:hAnsiTheme="majorHAnsi" w:cstheme="majorHAnsi"/>
        </w:rPr>
        <w:t xml:space="preserve"> </w:t>
      </w:r>
      <w:r>
        <w:t>The amount of time defined from spacecraft separation to enabling of the instrument survival heater circuit should be reviewed and revised as necessary after pairing with the host mission CONOPS, spacecraft and launch vehicle..</w:t>
      </w:r>
    </w:p>
    <w:p w14:paraId="4E7EB586" w14:textId="77777777" w:rsidR="00DB15E9" w:rsidRDefault="0078312E">
      <w:pPr>
        <w:pStyle w:val="UnnumberedHeading4"/>
      </w:pPr>
      <w:r>
        <w:t xml:space="preserve">Instrument Susceptibility to Unanticipated Transition to </w:t>
      </w:r>
      <w:r>
        <w:rPr>
          <w:smallCaps/>
        </w:rPr>
        <w:t>Survival</w:t>
      </w:r>
      <w:r>
        <w:t xml:space="preserve"> Mode</w:t>
      </w:r>
    </w:p>
    <w:p w14:paraId="6E06ABFF" w14:textId="77777777" w:rsidR="00DB15E9" w:rsidRDefault="0078312E">
      <w:pPr>
        <w:pStyle w:val="ESSPBodyText"/>
      </w:pPr>
      <w:r>
        <w:t xml:space="preserve">The Instrument should be able to withstand the sudden and immediate transition to instrument </w:t>
      </w:r>
      <w:r>
        <w:rPr>
          <w:smallCaps/>
        </w:rPr>
        <w:t>Off/Survival</w:t>
      </w:r>
      <w:r>
        <w:t xml:space="preserve"> mode by the Host Spacecraft at any time and in any Instrument mode.</w:t>
      </w:r>
      <w:r>
        <w:rPr>
          <w:rFonts w:asciiTheme="majorHAnsi" w:hAnsiTheme="majorHAnsi" w:cstheme="majorHAnsi"/>
        </w:rPr>
        <w:t xml:space="preserve"> </w:t>
      </w:r>
      <w:r>
        <w:t>This refers specifically to the sudden removal of operational power without the Instrument first going through an orderly shutdown sequence and the sudden activation of the survival heater power circuit(s).</w:t>
      </w:r>
    </w:p>
    <w:p w14:paraId="11013912" w14:textId="77777777" w:rsidR="00DB15E9" w:rsidRDefault="0078312E">
      <w:pPr>
        <w:pStyle w:val="UnnumberedHeading3"/>
      </w:pPr>
      <w:r>
        <w:rPr>
          <w:smallCaps/>
        </w:rPr>
        <w:t>Initialization</w:t>
      </w:r>
      <w:r>
        <w:t xml:space="preserve"> Mode</w:t>
      </w:r>
    </w:p>
    <w:p w14:paraId="76F71C83" w14:textId="77777777" w:rsidR="00DB15E9" w:rsidRDefault="0078312E">
      <w:pPr>
        <w:pStyle w:val="ESSPBodyText"/>
      </w:pPr>
      <w:r>
        <w:t xml:space="preserve">When first powered-on, the Instrument enters </w:t>
      </w:r>
      <w:r>
        <w:rPr>
          <w:smallCaps/>
        </w:rPr>
        <w:t>Initialization</w:t>
      </w:r>
      <w:r>
        <w:t xml:space="preserve"> mode and conducts all internal operations necessary in order to eventually transition to </w:t>
      </w:r>
      <w:r>
        <w:rPr>
          <w:smallCaps/>
        </w:rPr>
        <w:t>Operation</w:t>
      </w:r>
      <w:r>
        <w:t xml:space="preserve"> (or </w:t>
      </w:r>
      <w:r>
        <w:rPr>
          <w:smallCaps/>
        </w:rPr>
        <w:t>Safe</w:t>
      </w:r>
      <w:r>
        <w:t>) mode.</w:t>
      </w:r>
    </w:p>
    <w:p w14:paraId="010DB78B" w14:textId="77777777" w:rsidR="00DB15E9" w:rsidRDefault="0078312E">
      <w:pPr>
        <w:pStyle w:val="UnnumberedHeading4"/>
      </w:pPr>
      <w:r>
        <w:t>Power Application</w:t>
      </w:r>
    </w:p>
    <w:p w14:paraId="0646FCFB" w14:textId="77777777" w:rsidR="00DB15E9" w:rsidRDefault="0078312E">
      <w:pPr>
        <w:pStyle w:val="ESSPBodyText"/>
      </w:pPr>
      <w:r>
        <w:t xml:space="preserve">The Instrument should be in </w:t>
      </w:r>
      <w:r>
        <w:rPr>
          <w:smallCaps/>
        </w:rPr>
        <w:t>initialization</w:t>
      </w:r>
      <w:r>
        <w:t xml:space="preserve"> mode upon application of electrical power.</w:t>
      </w:r>
    </w:p>
    <w:p w14:paraId="6C63E679" w14:textId="77777777" w:rsidR="00DB15E9" w:rsidRDefault="0078312E">
      <w:pPr>
        <w:pStyle w:val="UnnumberedHeading4"/>
      </w:pPr>
      <w:r>
        <w:t>Thermal Conditioning</w:t>
      </w:r>
    </w:p>
    <w:p w14:paraId="4F8DAB9F" w14:textId="77777777" w:rsidR="00DB15E9" w:rsidRDefault="0078312E">
      <w:pPr>
        <w:pStyle w:val="ESSPBodyText"/>
      </w:pPr>
      <w:r>
        <w:t xml:space="preserve">When in </w:t>
      </w:r>
      <w:r>
        <w:rPr>
          <w:smallCaps/>
        </w:rPr>
        <w:t>Initialization</w:t>
      </w:r>
      <w:r>
        <w:t xml:space="preserve"> mode, the Instrument should conduct Instrument component warm-up or cool-down to operating temperatures.</w:t>
      </w:r>
    </w:p>
    <w:p w14:paraId="08FDD080" w14:textId="77777777" w:rsidR="00DB15E9" w:rsidRDefault="0078312E">
      <w:pPr>
        <w:pStyle w:val="UnnumberedHeading4"/>
      </w:pPr>
      <w:r>
        <w:t>Command and Telemetry</w:t>
      </w:r>
    </w:p>
    <w:p w14:paraId="0C347AE5" w14:textId="77777777" w:rsidR="00DB15E9" w:rsidRDefault="0078312E">
      <w:pPr>
        <w:pStyle w:val="ESSPBodyText"/>
      </w:pPr>
      <w:r>
        <w:t xml:space="preserve">When in </w:t>
      </w:r>
      <w:r>
        <w:rPr>
          <w:smallCaps/>
        </w:rPr>
        <w:t>Initialization</w:t>
      </w:r>
      <w:r>
        <w:t xml:space="preserve"> mode, the command and telemetry functions of the Instrument should be powered up first.</w:t>
      </w:r>
    </w:p>
    <w:p w14:paraId="545B661A" w14:textId="77777777" w:rsidR="00DB15E9" w:rsidRDefault="0078312E">
      <w:pPr>
        <w:pStyle w:val="UnnumberedHeading4"/>
      </w:pPr>
      <w:r>
        <w:t>Health and Status Telemetry</w:t>
      </w:r>
    </w:p>
    <w:p w14:paraId="5168D527" w14:textId="77777777" w:rsidR="00DB15E9" w:rsidRDefault="0078312E">
      <w:pPr>
        <w:pStyle w:val="ESSPBodyText"/>
      </w:pPr>
      <w:r>
        <w:t xml:space="preserve">When in </w:t>
      </w:r>
      <w:r>
        <w:rPr>
          <w:smallCaps/>
        </w:rPr>
        <w:t>Initialization</w:t>
      </w:r>
      <w:r>
        <w:t xml:space="preserve"> mode, the Instrument should send to the Host Spacecraft health and status telemetry.</w:t>
      </w:r>
    </w:p>
    <w:p w14:paraId="3DC60D9D" w14:textId="77777777" w:rsidR="00DB15E9" w:rsidRDefault="0078312E">
      <w:pPr>
        <w:pStyle w:val="UnnumberedHeading3"/>
      </w:pPr>
      <w:r>
        <w:rPr>
          <w:smallCaps/>
        </w:rPr>
        <w:t>Operation</w:t>
      </w:r>
      <w:r>
        <w:t xml:space="preserve"> Mode</w:t>
      </w:r>
    </w:p>
    <w:p w14:paraId="72050EB5" w14:textId="77777777" w:rsidR="00DB15E9" w:rsidRDefault="0078312E">
      <w:pPr>
        <w:pStyle w:val="ESSPBodyText"/>
      </w:pPr>
      <w:r>
        <w:t xml:space="preserve">The Instrument </w:t>
      </w:r>
      <w:r>
        <w:rPr>
          <w:smallCaps/>
        </w:rPr>
        <w:t>Operation</w:t>
      </w:r>
      <w:r>
        <w:t xml:space="preserve"> mode covers all nominal Instrument operations and science observations.</w:t>
      </w:r>
    </w:p>
    <w:p w14:paraId="47122B51" w14:textId="77777777" w:rsidR="00DB15E9" w:rsidRDefault="0078312E">
      <w:pPr>
        <w:pStyle w:val="UnnumberedHeading4"/>
      </w:pPr>
      <w:r>
        <w:t>Science Observations and Data Collection</w:t>
      </w:r>
    </w:p>
    <w:p w14:paraId="1F149C1E" w14:textId="77777777" w:rsidR="00DB15E9" w:rsidRDefault="0078312E">
      <w:pPr>
        <w:pStyle w:val="ESSPBodyText"/>
      </w:pPr>
      <w:r>
        <w:t xml:space="preserve">The Instrument should have one </w:t>
      </w:r>
      <w:r>
        <w:rPr>
          <w:smallCaps/>
        </w:rPr>
        <w:t>Operation</w:t>
      </w:r>
      <w:r>
        <w:t xml:space="preserve"> mode for science observations and data collection.</w:t>
      </w:r>
      <w:r>
        <w:rPr>
          <w:rFonts w:asciiTheme="majorHAnsi" w:hAnsiTheme="majorHAnsi" w:cstheme="majorHAnsi"/>
        </w:rPr>
        <w:t xml:space="preserve"> </w:t>
      </w:r>
      <w:r>
        <w:t xml:space="preserve">Within the </w:t>
      </w:r>
      <w:r>
        <w:rPr>
          <w:smallCaps/>
        </w:rPr>
        <w:t>Operation</w:t>
      </w:r>
      <w:r>
        <w:t xml:space="preserve"> mode, an instrument may define additional sub-modes specific to their operation (</w:t>
      </w:r>
      <w:r>
        <w:rPr>
          <w:i/>
        </w:rPr>
        <w:t>e.g.</w:t>
      </w:r>
      <w:r>
        <w:t xml:space="preserve"> </w:t>
      </w:r>
      <w:r>
        <w:rPr>
          <w:smallCaps/>
        </w:rPr>
        <w:t>Standby</w:t>
      </w:r>
      <w:r>
        <w:t xml:space="preserve">, </w:t>
      </w:r>
      <w:r>
        <w:rPr>
          <w:smallCaps/>
        </w:rPr>
        <w:t>Diagnostic</w:t>
      </w:r>
      <w:r>
        <w:t xml:space="preserve">, </w:t>
      </w:r>
      <w:r>
        <w:rPr>
          <w:smallCaps/>
        </w:rPr>
        <w:t>Measurement</w:t>
      </w:r>
      <w:r>
        <w:t>, etc.).</w:t>
      </w:r>
    </w:p>
    <w:p w14:paraId="74B5EEA1" w14:textId="77777777" w:rsidR="00DB15E9" w:rsidRDefault="0078312E">
      <w:pPr>
        <w:pStyle w:val="UnnumberedHeading4"/>
      </w:pPr>
      <w:r>
        <w:t>Data Transmission</w:t>
      </w:r>
    </w:p>
    <w:p w14:paraId="02909E7D" w14:textId="77777777" w:rsidR="00DB15E9" w:rsidRDefault="0078312E">
      <w:pPr>
        <w:pStyle w:val="ESSPBodyText"/>
      </w:pPr>
      <w:r>
        <w:t xml:space="preserve">When in </w:t>
      </w:r>
      <w:r>
        <w:rPr>
          <w:smallCaps/>
        </w:rPr>
        <w:t>Operation</w:t>
      </w:r>
      <w:r>
        <w:t xml:space="preserve"> mode, the Instrument should be fully functional and capable of providing all health and status and science data originating within the instrument to the Host Spacecraft and ground operations team.</w:t>
      </w:r>
    </w:p>
    <w:p w14:paraId="011CC89A" w14:textId="77777777" w:rsidR="00DB15E9" w:rsidRDefault="0078312E">
      <w:pPr>
        <w:pStyle w:val="UnnumberedHeading4"/>
      </w:pPr>
      <w:r>
        <w:t>Resources</w:t>
      </w:r>
    </w:p>
    <w:p w14:paraId="48486F59" w14:textId="77777777" w:rsidR="00DB15E9" w:rsidRDefault="0078312E">
      <w:pPr>
        <w:pStyle w:val="ESSPBodyText"/>
      </w:pPr>
      <w:r>
        <w:t xml:space="preserve">When in </w:t>
      </w:r>
      <w:r>
        <w:rPr>
          <w:smallCaps/>
        </w:rPr>
        <w:t>Operation</w:t>
      </w:r>
      <w:r>
        <w:t xml:space="preserve"> mode, the Instrument should be supported by all allocated Host Spacecraft resources.</w:t>
      </w:r>
    </w:p>
    <w:p w14:paraId="1DE48B09" w14:textId="77777777" w:rsidR="00DB15E9" w:rsidRDefault="0078312E">
      <w:pPr>
        <w:pStyle w:val="UnnumberedHeading3"/>
      </w:pPr>
      <w:bookmarkStart w:id="476" w:name="_Ref308601357"/>
      <w:r>
        <w:rPr>
          <w:smallCaps/>
        </w:rPr>
        <w:lastRenderedPageBreak/>
        <w:t>Safe</w:t>
      </w:r>
      <w:r>
        <w:t xml:space="preserve"> Mode</w:t>
      </w:r>
      <w:bookmarkEnd w:id="476"/>
    </w:p>
    <w:p w14:paraId="63B6999B" w14:textId="77777777" w:rsidR="00DB15E9" w:rsidRDefault="0078312E">
      <w:pPr>
        <w:pStyle w:val="ESSPBodyText"/>
      </w:pPr>
      <w:r>
        <w:t xml:space="preserve">The Instrument </w:t>
      </w:r>
      <w:r>
        <w:rPr>
          <w:smallCaps/>
        </w:rPr>
        <w:t>Safe</w:t>
      </w:r>
      <w:r>
        <w:t xml:space="preserve"> mode is a combined Instrument hardware and software configuration meant to protect the Instrument from possible internal or external harm while making minimal use of Host Spacecraft resources (</w:t>
      </w:r>
      <w:r>
        <w:rPr>
          <w:i/>
        </w:rPr>
        <w:t>e.g.</w:t>
      </w:r>
      <w:r>
        <w:t xml:space="preserve"> power).</w:t>
      </w:r>
    </w:p>
    <w:p w14:paraId="6F2FB821" w14:textId="77777777" w:rsidR="00DB15E9" w:rsidRDefault="0078312E">
      <w:pPr>
        <w:pStyle w:val="UnnumberedHeading4"/>
      </w:pPr>
      <w:r>
        <w:t>Data Collection and Transmission</w:t>
      </w:r>
    </w:p>
    <w:p w14:paraId="14B7CE9D" w14:textId="77777777" w:rsidR="00DB15E9" w:rsidRDefault="0078312E">
      <w:pPr>
        <w:pStyle w:val="ESSPBodyText"/>
      </w:pPr>
      <w:r>
        <w:t xml:space="preserve">When in </w:t>
      </w:r>
      <w:r>
        <w:rPr>
          <w:smallCaps/>
        </w:rPr>
        <w:t>Safe</w:t>
      </w:r>
      <w:r>
        <w:t xml:space="preserve"> mode, the Instrument should limit data collection and transmission to health and status information only.</w:t>
      </w:r>
    </w:p>
    <w:p w14:paraId="6A7E23FD" w14:textId="77777777" w:rsidR="00DB15E9" w:rsidRDefault="0078312E">
      <w:pPr>
        <w:pStyle w:val="UnnumberedHeading4"/>
      </w:pPr>
      <w:r>
        <w:t>Notification</w:t>
      </w:r>
    </w:p>
    <w:p w14:paraId="0437A1A4" w14:textId="77777777" w:rsidR="00DB15E9" w:rsidRDefault="0078312E">
      <w:pPr>
        <w:pStyle w:val="ESSPBodyText"/>
      </w:pPr>
      <w:r>
        <w:t xml:space="preserve">The Instrument should notify the Host Spacecraft when it has completed a transition to </w:t>
      </w:r>
      <w:r>
        <w:rPr>
          <w:smallCaps/>
        </w:rPr>
        <w:t>Safe</w:t>
      </w:r>
      <w:r>
        <w:t xml:space="preserve"> mode.</w:t>
      </w:r>
    </w:p>
    <w:p w14:paraId="6540C64D" w14:textId="77777777" w:rsidR="00DB15E9" w:rsidRDefault="0078312E">
      <w:pPr>
        <w:pStyle w:val="AppendixOutlineLevel2"/>
        <w:numPr>
          <w:ilvl w:val="1"/>
          <w:numId w:val="2"/>
        </w:numPr>
      </w:pPr>
      <w:bookmarkStart w:id="477" w:name="_Toc471971545"/>
      <w:r>
        <w:t>Mode Transitions</w:t>
      </w:r>
      <w:bookmarkEnd w:id="477"/>
    </w:p>
    <w:p w14:paraId="01045AE2" w14:textId="77777777" w:rsidR="00DB15E9" w:rsidRDefault="0078312E">
      <w:pPr>
        <w:pStyle w:val="UnnumberedHeading3"/>
      </w:pPr>
      <w:r>
        <w:t>Impacts to other instruments and the Host Spacecraft bus</w:t>
      </w:r>
    </w:p>
    <w:p w14:paraId="1F1F3A97" w14:textId="77777777" w:rsidR="00DB15E9" w:rsidRDefault="0078312E">
      <w:pPr>
        <w:pStyle w:val="ESSPBodyText"/>
      </w:pPr>
      <w:r>
        <w:t>The Instrument should transition from its current mode to any other mode without harming itself, other instruments, or the Host Spacecraft bus.</w:t>
      </w:r>
    </w:p>
    <w:p w14:paraId="0C1765F6" w14:textId="77777777" w:rsidR="00DB15E9" w:rsidRDefault="0078312E">
      <w:pPr>
        <w:pStyle w:val="UnnumberedHeading3"/>
      </w:pPr>
      <w:bookmarkStart w:id="478" w:name="_Ref308601366"/>
      <w:r>
        <w:t>Preferred Mode Transitions</w:t>
      </w:r>
      <w:bookmarkEnd w:id="478"/>
    </w:p>
    <w:p w14:paraId="78AF48B2" w14:textId="77777777" w:rsidR="00DB15E9" w:rsidRDefault="0078312E">
      <w:pPr>
        <w:pStyle w:val="ESSPBodyText"/>
      </w:pPr>
      <w:r>
        <w:t>The Instrument should follow the mode transitions depic</w:t>
      </w:r>
      <w:r>
        <w:rPr>
          <w:rFonts w:asciiTheme="majorHAnsi" w:hAnsiTheme="majorHAnsi" w:cstheme="majorHAnsi"/>
        </w:rPr>
        <w:t xml:space="preserve">ted in </w:t>
      </w:r>
      <w:r>
        <w:rPr>
          <w:rStyle w:val="ESSPBodyTextChar"/>
        </w:rPr>
        <w:t>Figure E-1</w:t>
      </w:r>
      <w:r>
        <w:rPr>
          <w:rFonts w:asciiTheme="majorHAnsi" w:hAnsiTheme="majorHAnsi" w:cstheme="majorHAnsi"/>
        </w:rPr>
        <w:t>. The preferred transition to O</w:t>
      </w:r>
      <w:r>
        <w:rPr>
          <w:rFonts w:asciiTheme="majorHAnsi" w:hAnsiTheme="majorHAnsi" w:cstheme="majorHAnsi"/>
          <w:smallCaps/>
        </w:rPr>
        <w:t>ff/Survival</w:t>
      </w:r>
      <w:r>
        <w:rPr>
          <w:rFonts w:asciiTheme="majorHAnsi" w:hAnsiTheme="majorHAnsi" w:cstheme="majorHAnsi"/>
        </w:rPr>
        <w:t xml:space="preserve"> mode is through </w:t>
      </w:r>
      <w:r>
        <w:rPr>
          <w:rFonts w:asciiTheme="majorHAnsi" w:hAnsiTheme="majorHAnsi" w:cstheme="majorHAnsi"/>
          <w:smallCaps/>
        </w:rPr>
        <w:t>Safe</w:t>
      </w:r>
      <w:r>
        <w:rPr>
          <w:rFonts w:asciiTheme="majorHAnsi" w:hAnsiTheme="majorHAnsi" w:cstheme="majorHAnsi"/>
        </w:rPr>
        <w:t xml:space="preserve"> mode. All other transitions t</w:t>
      </w:r>
      <w:r>
        <w:t xml:space="preserve">o </w:t>
      </w:r>
      <w:r>
        <w:rPr>
          <w:smallCaps/>
        </w:rPr>
        <w:t>Off/Survival</w:t>
      </w:r>
      <w:r>
        <w:t xml:space="preserve"> are to be exercised in emergency situations only.</w:t>
      </w:r>
    </w:p>
    <w:p w14:paraId="7784D14E" w14:textId="77777777" w:rsidR="00DB15E9" w:rsidRDefault="0078312E">
      <w:pPr>
        <w:pStyle w:val="UnnumberedHeading3"/>
      </w:pPr>
      <w:r>
        <w:rPr>
          <w:smallCaps/>
        </w:rPr>
        <w:t>survival</w:t>
      </w:r>
      <w:r>
        <w:t xml:space="preserve"> Mode Transitions</w:t>
      </w:r>
    </w:p>
    <w:p w14:paraId="3D5E9080" w14:textId="77777777" w:rsidR="00DB15E9" w:rsidRDefault="0078312E">
      <w:pPr>
        <w:pStyle w:val="UnnumberedHeading4"/>
      </w:pPr>
      <w:r>
        <w:t>Trigger</w:t>
      </w:r>
    </w:p>
    <w:p w14:paraId="6FDA5F61" w14:textId="77777777" w:rsidR="00DB15E9" w:rsidRDefault="0078312E">
      <w:pPr>
        <w:pStyle w:val="ESSPBodyText"/>
      </w:pPr>
      <w:r>
        <w:t xml:space="preserve">The Host Spacecraft should transition the Instrument to </w:t>
      </w:r>
      <w:r>
        <w:rPr>
          <w:smallCaps/>
        </w:rPr>
        <w:t>Off/Survival</w:t>
      </w:r>
      <w:r>
        <w:t xml:space="preserve"> mode in the event of a severe Spacecraft emergency.</w:t>
      </w:r>
    </w:p>
    <w:p w14:paraId="278A071F" w14:textId="77777777" w:rsidR="00DB15E9" w:rsidRDefault="0078312E">
      <w:pPr>
        <w:pStyle w:val="UnnumberedHeading4"/>
      </w:pPr>
      <w:r>
        <w:t>Instrument Operational Power</w:t>
      </w:r>
    </w:p>
    <w:p w14:paraId="754005E7" w14:textId="77777777" w:rsidR="00DB15E9" w:rsidRDefault="0078312E">
      <w:pPr>
        <w:pStyle w:val="ESSPBodyText"/>
      </w:pPr>
      <w:r>
        <w:t>The Host Spacecraft should</w:t>
      </w:r>
      <w:r>
        <w:rPr>
          <w:b/>
        </w:rPr>
        <w:t xml:space="preserve"> </w:t>
      </w:r>
      <w:r>
        <w:t xml:space="preserve">remove Instrument operational power during transition to </w:t>
      </w:r>
      <w:r>
        <w:rPr>
          <w:smallCaps/>
        </w:rPr>
        <w:t>Off/Survival</w:t>
      </w:r>
      <w:r>
        <w:t xml:space="preserve"> mode.</w:t>
      </w:r>
    </w:p>
    <w:p w14:paraId="342F605C" w14:textId="77777777" w:rsidR="00DB15E9" w:rsidRDefault="0078312E">
      <w:pPr>
        <w:pStyle w:val="UnnumberedHeading4"/>
      </w:pPr>
      <w:r>
        <w:t>Instrument Notification</w:t>
      </w:r>
    </w:p>
    <w:p w14:paraId="18908390" w14:textId="77777777" w:rsidR="00DB15E9" w:rsidRDefault="0078312E">
      <w:pPr>
        <w:pStyle w:val="ESSPBodyText"/>
      </w:pPr>
      <w:r>
        <w:t xml:space="preserve">Transition to </w:t>
      </w:r>
      <w:r>
        <w:rPr>
          <w:smallCaps/>
        </w:rPr>
        <w:t>Survival</w:t>
      </w:r>
      <w:r>
        <w:t xml:space="preserve"> mode should</w:t>
      </w:r>
      <w:r>
        <w:rPr>
          <w:b/>
        </w:rPr>
        <w:t xml:space="preserve"> </w:t>
      </w:r>
      <w:r>
        <w:t>not require notification or commands be sent to the Instrument.</w:t>
      </w:r>
    </w:p>
    <w:p w14:paraId="7B13F27E" w14:textId="77777777" w:rsidR="00DB15E9" w:rsidRDefault="0078312E">
      <w:pPr>
        <w:pStyle w:val="UnnumberedHeading3"/>
      </w:pPr>
      <w:r>
        <w:rPr>
          <w:smallCaps/>
        </w:rPr>
        <w:t>initialization</w:t>
      </w:r>
      <w:r>
        <w:t xml:space="preserve"> Mode Transitions</w:t>
      </w:r>
    </w:p>
    <w:p w14:paraId="474ABB0B" w14:textId="77777777" w:rsidR="00DB15E9" w:rsidRDefault="0078312E">
      <w:pPr>
        <w:pStyle w:val="UnnumberedHeading4"/>
      </w:pPr>
      <w:r>
        <w:t xml:space="preserve">Transition from </w:t>
      </w:r>
      <w:r>
        <w:rPr>
          <w:smallCaps/>
        </w:rPr>
        <w:t>off</w:t>
      </w:r>
      <w:r>
        <w:t xml:space="preserve"> Mode</w:t>
      </w:r>
    </w:p>
    <w:p w14:paraId="18F664CC" w14:textId="77777777" w:rsidR="00DB15E9" w:rsidRDefault="0078312E">
      <w:pPr>
        <w:pStyle w:val="ESSPBodyText"/>
      </w:pPr>
      <w:r>
        <w:t xml:space="preserve">The Instrument should transition from </w:t>
      </w:r>
      <w:r>
        <w:rPr>
          <w:smallCaps/>
        </w:rPr>
        <w:t>off</w:t>
      </w:r>
      <w:r>
        <w:t xml:space="preserve"> mode to </w:t>
      </w:r>
      <w:r>
        <w:rPr>
          <w:smallCaps/>
        </w:rPr>
        <w:t>Initialization</w:t>
      </w:r>
      <w:r>
        <w:t xml:space="preserve"> mode before entering either </w:t>
      </w:r>
      <w:r>
        <w:rPr>
          <w:smallCaps/>
        </w:rPr>
        <w:t>Operation</w:t>
      </w:r>
      <w:r>
        <w:t xml:space="preserve"> or </w:t>
      </w:r>
      <w:r>
        <w:rPr>
          <w:smallCaps/>
        </w:rPr>
        <w:t>Safe</w:t>
      </w:r>
      <w:r>
        <w:t xml:space="preserve"> modes.</w:t>
      </w:r>
    </w:p>
    <w:p w14:paraId="3F85AABE" w14:textId="77777777" w:rsidR="00DB15E9" w:rsidRDefault="0078312E">
      <w:pPr>
        <w:pStyle w:val="UnnumberedHeading4"/>
      </w:pPr>
      <w:r>
        <w:t>Exiting initialization Mode</w:t>
      </w:r>
    </w:p>
    <w:p w14:paraId="05F4238D" w14:textId="77777777" w:rsidR="00DB15E9" w:rsidRDefault="0078312E">
      <w:pPr>
        <w:pStyle w:val="ESSPBodyText"/>
      </w:pPr>
      <w:r>
        <w:t xml:space="preserve">When in </w:t>
      </w:r>
      <w:r>
        <w:rPr>
          <w:smallCaps/>
        </w:rPr>
        <w:t>Initialization</w:t>
      </w:r>
      <w:r>
        <w:t xml:space="preserve"> mode, the Instrument should remain in </w:t>
      </w:r>
      <w:r>
        <w:rPr>
          <w:smallCaps/>
        </w:rPr>
        <w:t>Initialization</w:t>
      </w:r>
      <w:r>
        <w:t xml:space="preserve"> mode until a valid command is received from the Host Spacecraft or ground operations team to transition to </w:t>
      </w:r>
      <w:r>
        <w:rPr>
          <w:smallCaps/>
        </w:rPr>
        <w:t>Operation</w:t>
      </w:r>
      <w:r>
        <w:t xml:space="preserve"> (or </w:t>
      </w:r>
      <w:r>
        <w:rPr>
          <w:smallCaps/>
        </w:rPr>
        <w:t>Safe</w:t>
      </w:r>
      <w:r>
        <w:t>) mode.</w:t>
      </w:r>
    </w:p>
    <w:p w14:paraId="02049A9D" w14:textId="77777777" w:rsidR="00DB15E9" w:rsidRDefault="0078312E">
      <w:pPr>
        <w:pStyle w:val="UnnumberedHeading3"/>
      </w:pPr>
      <w:r>
        <w:rPr>
          <w:smallCaps/>
        </w:rPr>
        <w:lastRenderedPageBreak/>
        <w:t>Safe</w:t>
      </w:r>
      <w:r>
        <w:t xml:space="preserve"> Mode Transitions</w:t>
      </w:r>
    </w:p>
    <w:p w14:paraId="05AC29F8" w14:textId="77777777" w:rsidR="00DB15E9" w:rsidRDefault="0078312E">
      <w:pPr>
        <w:pStyle w:val="UnnumberedHeading4"/>
      </w:pPr>
      <w:r>
        <w:t>Command Trigger</w:t>
      </w:r>
    </w:p>
    <w:p w14:paraId="38D2B3A9" w14:textId="77777777" w:rsidR="00DB15E9" w:rsidRDefault="0078312E">
      <w:pPr>
        <w:pStyle w:val="ESSPBodyText"/>
      </w:pPr>
      <w:r>
        <w:t xml:space="preserve">The Instrument should transition to </w:t>
      </w:r>
      <w:r>
        <w:rPr>
          <w:smallCaps/>
        </w:rPr>
        <w:t>Safe</w:t>
      </w:r>
      <w:r>
        <w:t xml:space="preserve"> mode upon receipt of a command from the Host Spacecraft or ground operations team.</w:t>
      </w:r>
    </w:p>
    <w:p w14:paraId="06433D72" w14:textId="77777777" w:rsidR="00DB15E9" w:rsidRDefault="0078312E">
      <w:pPr>
        <w:pStyle w:val="UnnumberedHeading4"/>
      </w:pPr>
      <w:r>
        <w:t>Missing Time Message Trigger</w:t>
      </w:r>
    </w:p>
    <w:p w14:paraId="5C98E78C" w14:textId="77777777" w:rsidR="00DB15E9" w:rsidRDefault="0078312E">
      <w:pPr>
        <w:pStyle w:val="ESSPBodyText"/>
      </w:pPr>
      <w:r>
        <w:t xml:space="preserve">The Instrument should transition to </w:t>
      </w:r>
      <w:r>
        <w:rPr>
          <w:smallCaps/>
        </w:rPr>
        <w:t>Safe</w:t>
      </w:r>
      <w:r>
        <w:t xml:space="preserve"> mode upon the detection of 10 consecutive missing time messages.</w:t>
      </w:r>
    </w:p>
    <w:p w14:paraId="70F7DB58" w14:textId="77777777" w:rsidR="00DB15E9" w:rsidRDefault="0078312E">
      <w:pPr>
        <w:pStyle w:val="UnnumberedHeading4"/>
      </w:pPr>
      <w:r>
        <w:t>On-Orbit Anomaly Trigger</w:t>
      </w:r>
    </w:p>
    <w:p w14:paraId="6FA6B7FA" w14:textId="77777777" w:rsidR="00DB15E9" w:rsidRDefault="0078312E">
      <w:pPr>
        <w:pStyle w:val="ESSPBodyText"/>
      </w:pPr>
      <w:r>
        <w:t xml:space="preserve">The Instrument should transition to </w:t>
      </w:r>
      <w:r>
        <w:rPr>
          <w:smallCaps/>
        </w:rPr>
        <w:t>Safe</w:t>
      </w:r>
      <w:r>
        <w:t xml:space="preserve"> mode autonomously upon any instance of an Instrument-detected on-orbit anomaly, where failure to take prompt corrective action could result in damage to the Instrument or Host Spacecraft.</w:t>
      </w:r>
    </w:p>
    <w:p w14:paraId="69ECD925" w14:textId="77777777" w:rsidR="00DB15E9" w:rsidRDefault="0078312E">
      <w:pPr>
        <w:pStyle w:val="UnnumberedHeading4"/>
      </w:pPr>
      <w:r>
        <w:t>Orderly Transition</w:t>
      </w:r>
    </w:p>
    <w:p w14:paraId="3E534CDD" w14:textId="77777777" w:rsidR="00DB15E9" w:rsidRDefault="0078312E">
      <w:pPr>
        <w:pStyle w:val="ESSPBodyText"/>
      </w:pPr>
      <w:r>
        <w:t xml:space="preserve">The Instrument should conduct all transitions to </w:t>
      </w:r>
      <w:r>
        <w:rPr>
          <w:smallCaps/>
        </w:rPr>
        <w:t>Safe</w:t>
      </w:r>
      <w:r>
        <w:t xml:space="preserve"> mode in an orderly fashion.</w:t>
      </w:r>
    </w:p>
    <w:p w14:paraId="1CB88DC2" w14:textId="77777777" w:rsidR="00DB15E9" w:rsidRDefault="0078312E">
      <w:pPr>
        <w:pStyle w:val="UnnumberedHeading4"/>
      </w:pPr>
      <w:r>
        <w:t xml:space="preserve">Duration of </w:t>
      </w:r>
      <w:r>
        <w:rPr>
          <w:smallCaps/>
        </w:rPr>
        <w:t>Safe</w:t>
      </w:r>
      <w:r>
        <w:t xml:space="preserve"> Mode Transition</w:t>
      </w:r>
    </w:p>
    <w:p w14:paraId="6F230C49" w14:textId="77777777" w:rsidR="00DB15E9" w:rsidRDefault="0078312E">
      <w:pPr>
        <w:pStyle w:val="ESSPBodyText"/>
      </w:pPr>
      <w:r>
        <w:t>The Instrument should</w:t>
      </w:r>
      <w:r>
        <w:rPr>
          <w:b/>
        </w:rPr>
        <w:t xml:space="preserve"> </w:t>
      </w:r>
      <w:r>
        <w:t xml:space="preserve">complete </w:t>
      </w:r>
      <w:r>
        <w:rPr>
          <w:smallCaps/>
        </w:rPr>
        <w:t>Safe</w:t>
      </w:r>
      <w:r>
        <w:t xml:space="preserve"> mode configuration within 10 seconds after </w:t>
      </w:r>
      <w:r>
        <w:rPr>
          <w:smallCaps/>
        </w:rPr>
        <w:t>Safe</w:t>
      </w:r>
      <w:r>
        <w:t xml:space="preserve"> mode transition is initiated.</w:t>
      </w:r>
    </w:p>
    <w:p w14:paraId="2E9B514B" w14:textId="77777777" w:rsidR="00DB15E9" w:rsidRDefault="0078312E">
      <w:pPr>
        <w:pStyle w:val="UnnumberedHeading4"/>
      </w:pPr>
      <w:r>
        <w:t xml:space="preserve">Instrument Inhibition of </w:t>
      </w:r>
      <w:r>
        <w:rPr>
          <w:smallCaps/>
        </w:rPr>
        <w:t>Safe</w:t>
      </w:r>
      <w:r>
        <w:t xml:space="preserve"> Mode Transition</w:t>
      </w:r>
    </w:p>
    <w:p w14:paraId="178A7EFE" w14:textId="77777777" w:rsidR="00DB15E9" w:rsidRDefault="0078312E">
      <w:pPr>
        <w:pStyle w:val="ESSPBodyText"/>
      </w:pPr>
      <w:r>
        <w:t xml:space="preserve">The Instrument should not inhibit any </w:t>
      </w:r>
      <w:r>
        <w:rPr>
          <w:smallCaps/>
        </w:rPr>
        <w:t>Safe</w:t>
      </w:r>
      <w:r>
        <w:t xml:space="preserve"> mode transition, whether by command from the Host Spacecraft or ground operations team, detection of internal Instrument anomalies, or lack of time messages from the Spacecraft.</w:t>
      </w:r>
    </w:p>
    <w:p w14:paraId="37369A76" w14:textId="77777777" w:rsidR="00DB15E9" w:rsidRDefault="0078312E">
      <w:pPr>
        <w:pStyle w:val="UnnumberedHeading4"/>
      </w:pPr>
      <w:r>
        <w:t xml:space="preserve">Deliberate Transition from </w:t>
      </w:r>
      <w:r>
        <w:rPr>
          <w:smallCaps/>
        </w:rPr>
        <w:t>Safe</w:t>
      </w:r>
      <w:r>
        <w:t xml:space="preserve"> Mode</w:t>
      </w:r>
    </w:p>
    <w:p w14:paraId="44D05F95" w14:textId="77777777" w:rsidR="00DB15E9" w:rsidRDefault="0078312E">
      <w:pPr>
        <w:pStyle w:val="ESSPBodyText"/>
      </w:pPr>
      <w:r>
        <w:t xml:space="preserve">When in </w:t>
      </w:r>
      <w:r>
        <w:rPr>
          <w:smallCaps/>
        </w:rPr>
        <w:t>Safe</w:t>
      </w:r>
      <w:r>
        <w:t xml:space="preserve"> mode, the instrument should</w:t>
      </w:r>
      <w:r>
        <w:rPr>
          <w:b/>
        </w:rPr>
        <w:t xml:space="preserve"> </w:t>
      </w:r>
      <w:r>
        <w:t xml:space="preserve">not autonomously transition out of </w:t>
      </w:r>
      <w:r>
        <w:rPr>
          <w:smallCaps/>
        </w:rPr>
        <w:t>Safe</w:t>
      </w:r>
      <w:r>
        <w:t xml:space="preserve"> mode, unless it receives a mode transition command from the Host Spacecraft or ground operations team.</w:t>
      </w:r>
    </w:p>
    <w:p w14:paraId="08EFB23F" w14:textId="77777777" w:rsidR="00DB15E9" w:rsidRDefault="0078312E">
      <w:pPr>
        <w:pStyle w:val="UnnumberedHeading3"/>
      </w:pPr>
      <w:r>
        <w:rPr>
          <w:smallCaps/>
        </w:rPr>
        <w:t>Operation</w:t>
      </w:r>
      <w:r>
        <w:t xml:space="preserve"> Mode Transitions</w:t>
      </w:r>
    </w:p>
    <w:p w14:paraId="6E95C991" w14:textId="77777777" w:rsidR="00DB15E9" w:rsidRDefault="0078312E">
      <w:pPr>
        <w:pStyle w:val="UnnumberedHeading4"/>
      </w:pPr>
      <w:r>
        <w:t>Trigger</w:t>
      </w:r>
    </w:p>
    <w:p w14:paraId="03629FBD" w14:textId="77777777" w:rsidR="00DB15E9" w:rsidRDefault="0078312E">
      <w:pPr>
        <w:pStyle w:val="ESSPBodyText"/>
      </w:pPr>
      <w:r>
        <w:t xml:space="preserve">The Instrument should enter </w:t>
      </w:r>
      <w:r>
        <w:rPr>
          <w:smallCaps/>
        </w:rPr>
        <w:t>Operation</w:t>
      </w:r>
      <w:r>
        <w:t xml:space="preserve"> mode only upon reception of a valid </w:t>
      </w:r>
      <w:r>
        <w:rPr>
          <w:smallCaps/>
        </w:rPr>
        <w:t>Operation</w:t>
      </w:r>
      <w:r>
        <w:t xml:space="preserve"> mode (or sub-mode) command from the Host Spacecraft or ground operations team.</w:t>
      </w:r>
    </w:p>
    <w:p w14:paraId="7996C40A" w14:textId="77777777" w:rsidR="00DB15E9" w:rsidRDefault="0078312E">
      <w:pPr>
        <w:pStyle w:val="UnnumberedHeading4"/>
      </w:pPr>
      <w:r>
        <w:t xml:space="preserve">Maintenance of </w:t>
      </w:r>
      <w:r>
        <w:rPr>
          <w:smallCaps/>
        </w:rPr>
        <w:t>Operation</w:t>
      </w:r>
      <w:r>
        <w:t xml:space="preserve"> Mode</w:t>
      </w:r>
    </w:p>
    <w:p w14:paraId="27EB9E2F" w14:textId="77777777" w:rsidR="00DB15E9" w:rsidRDefault="0078312E">
      <w:pPr>
        <w:pStyle w:val="ESSPBodyText"/>
      </w:pPr>
      <w:r>
        <w:t xml:space="preserve">When in </w:t>
      </w:r>
      <w:r>
        <w:rPr>
          <w:smallCaps/>
        </w:rPr>
        <w:t>Operation</w:t>
      </w:r>
      <w:r>
        <w:t xml:space="preserve"> mode, the Instrument should remain in the </w:t>
      </w:r>
      <w:r>
        <w:rPr>
          <w:smallCaps/>
        </w:rPr>
        <w:t>Operation</w:t>
      </w:r>
      <w:r>
        <w:t xml:space="preserve"> mode until a valid command is received from the Host Spacecraft or ground operations team to place the Instrument into another mode, or until an autonomous transition to </w:t>
      </w:r>
      <w:r>
        <w:rPr>
          <w:smallCaps/>
        </w:rPr>
        <w:t>Safe</w:t>
      </w:r>
      <w:r>
        <w:t xml:space="preserve"> mode is required due to internal Instrument anomalies or lack of time messages from the Spacecraft.</w:t>
      </w:r>
    </w:p>
    <w:p w14:paraId="15202FF1" w14:textId="77777777" w:rsidR="00DB15E9" w:rsidRDefault="0078312E">
      <w:pPr>
        <w:tabs>
          <w:tab w:val="clear" w:pos="1440"/>
          <w:tab w:val="clear" w:pos="4140"/>
          <w:tab w:val="clear" w:pos="7920"/>
        </w:tabs>
        <w:spacing w:after="0"/>
        <w:rPr>
          <w:rFonts w:asciiTheme="minorHAnsi" w:hAnsiTheme="minorHAnsi" w:cstheme="minorHAnsi"/>
        </w:rPr>
      </w:pPr>
      <w:r>
        <w:br w:type="page"/>
      </w:r>
    </w:p>
    <w:p w14:paraId="0EDBF33E" w14:textId="77777777" w:rsidR="00DB15E9" w:rsidRDefault="0078312E">
      <w:pPr>
        <w:pStyle w:val="Heading7"/>
      </w:pPr>
      <w:bookmarkStart w:id="479" w:name="_Toc471971546"/>
      <w:r>
        <w:lastRenderedPageBreak/>
        <w:t>Examples of Data Deliverables for Verification</w:t>
      </w:r>
      <w:bookmarkEnd w:id="479"/>
    </w:p>
    <w:p w14:paraId="270F37F7" w14:textId="77777777" w:rsidR="00DB15E9" w:rsidRDefault="0078312E">
      <w:pPr>
        <w:pStyle w:val="ESSPBodyText"/>
      </w:pPr>
      <w:r>
        <w:t>This section provides the types of data items that will, be required for interface verification with the host spacecraft.</w:t>
      </w:r>
      <w:r>
        <w:rPr>
          <w:rFonts w:asciiTheme="majorHAnsi" w:hAnsiTheme="majorHAnsi" w:cstheme="majorHAnsi"/>
        </w:rPr>
        <w:t xml:space="preserve"> </w:t>
      </w:r>
      <w:r>
        <w:t>This is not an exhaustive list and is not necessarily all-inclusive, but provides examples of data that is usually required. This example list applies to the hosted payload (instrument)-to-host spacecraft interfaces only. Additional verification for the hosted payload (instrument) itself will be required.</w:t>
      </w:r>
    </w:p>
    <w:p w14:paraId="0DE2B92E" w14:textId="77777777" w:rsidR="00DB15E9" w:rsidRDefault="0078312E">
      <w:pPr>
        <w:pStyle w:val="ESSPBodyText"/>
        <w:numPr>
          <w:ilvl w:val="0"/>
          <w:numId w:val="22"/>
        </w:numPr>
      </w:pPr>
      <w:r>
        <w:t>Compliance matrix</w:t>
      </w:r>
    </w:p>
    <w:p w14:paraId="4DE6C0E6" w14:textId="77777777" w:rsidR="00DB15E9" w:rsidRDefault="0078312E">
      <w:pPr>
        <w:pStyle w:val="ESSPBodyText"/>
        <w:numPr>
          <w:ilvl w:val="0"/>
          <w:numId w:val="22"/>
        </w:numPr>
      </w:pPr>
      <w:r>
        <w:t>Thermal analysis</w:t>
      </w:r>
    </w:p>
    <w:p w14:paraId="28831152" w14:textId="77777777" w:rsidR="00DB15E9" w:rsidRDefault="0078312E">
      <w:pPr>
        <w:pStyle w:val="ESSPBodyText"/>
        <w:numPr>
          <w:ilvl w:val="0"/>
          <w:numId w:val="22"/>
        </w:numPr>
      </w:pPr>
      <w:r>
        <w:t>Mechanical Analysis</w:t>
      </w:r>
    </w:p>
    <w:p w14:paraId="473C417E" w14:textId="77777777" w:rsidR="00DB15E9" w:rsidRDefault="0078312E">
      <w:pPr>
        <w:pStyle w:val="ESSPBodyText"/>
        <w:numPr>
          <w:ilvl w:val="0"/>
          <w:numId w:val="22"/>
        </w:numPr>
      </w:pPr>
      <w:r>
        <w:t>Failure Modes and Effects Analysis</w:t>
      </w:r>
    </w:p>
    <w:p w14:paraId="6DA95C48" w14:textId="77777777" w:rsidR="00DB15E9" w:rsidRDefault="0078312E">
      <w:pPr>
        <w:pStyle w:val="ESSPBodyText"/>
        <w:numPr>
          <w:ilvl w:val="0"/>
          <w:numId w:val="22"/>
        </w:numPr>
      </w:pPr>
      <w:r>
        <w:t>Mass Properties Report</w:t>
      </w:r>
    </w:p>
    <w:p w14:paraId="15462A5F" w14:textId="77777777" w:rsidR="00DB15E9" w:rsidRDefault="0078312E">
      <w:pPr>
        <w:pStyle w:val="ESSPBodyText"/>
        <w:numPr>
          <w:ilvl w:val="0"/>
          <w:numId w:val="22"/>
        </w:numPr>
      </w:pPr>
      <w:r>
        <w:t>Safety/hazard Analyses and Report</w:t>
      </w:r>
    </w:p>
    <w:p w14:paraId="3FD44DDC" w14:textId="77777777" w:rsidR="00DB15E9" w:rsidRDefault="0078312E">
      <w:pPr>
        <w:pStyle w:val="ESSPBodyText"/>
        <w:numPr>
          <w:ilvl w:val="0"/>
          <w:numId w:val="22"/>
        </w:numPr>
      </w:pPr>
      <w:r>
        <w:t>Qualification and Acceptance Test Report</w:t>
      </w:r>
    </w:p>
    <w:p w14:paraId="4EBBD879" w14:textId="77777777" w:rsidR="00DB15E9" w:rsidRDefault="0078312E">
      <w:pPr>
        <w:pStyle w:val="ESSPBodyText"/>
        <w:numPr>
          <w:ilvl w:val="0"/>
          <w:numId w:val="22"/>
        </w:numPr>
      </w:pPr>
      <w:r>
        <w:t>Qualification Certification (and associated analysis)</w:t>
      </w:r>
    </w:p>
    <w:p w14:paraId="176C74D9" w14:textId="77777777" w:rsidR="00DB15E9" w:rsidRDefault="0078312E">
      <w:pPr>
        <w:pStyle w:val="ESSPBodyText"/>
        <w:numPr>
          <w:ilvl w:val="0"/>
          <w:numId w:val="22"/>
        </w:numPr>
      </w:pPr>
      <w:r>
        <w:t>End Item Data Package</w:t>
      </w:r>
    </w:p>
    <w:p w14:paraId="36CB68F9" w14:textId="77777777" w:rsidR="00DB15E9" w:rsidRDefault="0078312E">
      <w:pPr>
        <w:pStyle w:val="ESSPBodyText"/>
      </w:pPr>
      <w:r>
        <w:t>Each host spacecraft project may have an individual list that may differ from the examples cited above.</w:t>
      </w:r>
      <w:r>
        <w:rPr>
          <w:rFonts w:asciiTheme="majorHAnsi" w:hAnsiTheme="majorHAnsi" w:cstheme="majorHAnsi"/>
        </w:rPr>
        <w:t xml:space="preserve"> </w:t>
      </w:r>
      <w:r>
        <w:t>The Hosted Payload Developer should make every attempt to ascertain the actual interface verification requirements as soon as practical from the host spacecraft developer.</w:t>
      </w:r>
    </w:p>
    <w:p w14:paraId="3486DE84" w14:textId="77777777" w:rsidR="00DB15E9" w:rsidRDefault="0078312E">
      <w:pPr>
        <w:tabs>
          <w:tab w:val="clear" w:pos="1440"/>
          <w:tab w:val="clear" w:pos="4140"/>
          <w:tab w:val="clear" w:pos="7920"/>
        </w:tabs>
        <w:spacing w:after="0"/>
        <w:rPr>
          <w:rFonts w:asciiTheme="minorHAnsi" w:hAnsiTheme="minorHAnsi" w:cstheme="minorHAnsi"/>
        </w:rPr>
      </w:pPr>
      <w:r>
        <w:br w:type="page"/>
      </w:r>
    </w:p>
    <w:p w14:paraId="3513416D" w14:textId="77777777" w:rsidR="00DB15E9" w:rsidRDefault="0078312E">
      <w:pPr>
        <w:pStyle w:val="Heading7"/>
      </w:pPr>
      <w:bookmarkStart w:id="480" w:name="_Toc471971547"/>
      <w:r>
        <w:lastRenderedPageBreak/>
        <w:t>Examples of Payload-Provided Hardware and Associated Tasks</w:t>
      </w:r>
      <w:bookmarkEnd w:id="480"/>
    </w:p>
    <w:p w14:paraId="3EC1B369" w14:textId="77777777" w:rsidR="00DB15E9" w:rsidRDefault="0078312E">
      <w:pPr>
        <w:pStyle w:val="ESSPBodyText"/>
      </w:pPr>
      <w:r>
        <w:t>Hosted payload providers should be prepared to provide additional hardware that support their payload, in addition to several tasks associated with their specific-hardware.</w:t>
      </w:r>
      <w:r>
        <w:rPr>
          <w:rFonts w:asciiTheme="majorHAnsi" w:hAnsiTheme="majorHAnsi" w:cstheme="majorHAnsi"/>
        </w:rPr>
        <w:t xml:space="preserve"> </w:t>
      </w:r>
      <w:r>
        <w:t>Examples cited below:</w:t>
      </w:r>
    </w:p>
    <w:p w14:paraId="280CA18E" w14:textId="77777777" w:rsidR="00DB15E9" w:rsidRDefault="0078312E">
      <w:pPr>
        <w:pStyle w:val="ESSPBodyText"/>
        <w:numPr>
          <w:ilvl w:val="0"/>
          <w:numId w:val="23"/>
        </w:numPr>
      </w:pPr>
      <w:r>
        <w:t>Payload providers should supply any required shipping containers, shipping materials, accelerometers, temperature, pressure and humidity sensors and contamination monitors to monitor and record the environment during payload transportation, storage and shipping to the SV integration site.</w:t>
      </w:r>
    </w:p>
    <w:p w14:paraId="079E9955" w14:textId="77777777" w:rsidR="00DB15E9" w:rsidRDefault="0078312E">
      <w:pPr>
        <w:pStyle w:val="ESSPBodyText"/>
        <w:numPr>
          <w:ilvl w:val="0"/>
          <w:numId w:val="23"/>
        </w:numPr>
      </w:pPr>
      <w:r>
        <w:t>Payload suppliers are responsible for all shipment, insurance, tax, and import/export fee costs for delivery (flight and non-flight hardware) to the SV integration site.</w:t>
      </w:r>
    </w:p>
    <w:p w14:paraId="6A6D1610" w14:textId="77777777" w:rsidR="00DB15E9" w:rsidRDefault="0078312E">
      <w:pPr>
        <w:pStyle w:val="ESSPBodyText"/>
        <w:numPr>
          <w:ilvl w:val="0"/>
          <w:numId w:val="23"/>
        </w:numPr>
      </w:pPr>
      <w:r>
        <w:t>Payload providers should provide all necessary information and support for any Export Control application, license, evaluation, and agreement required to support the payload movement as required throughout the integrated space vehicle mission phases.</w:t>
      </w:r>
    </w:p>
    <w:p w14:paraId="75F448E3" w14:textId="77777777" w:rsidR="00DB15E9" w:rsidRDefault="0078312E">
      <w:pPr>
        <w:pStyle w:val="ESSPBodyText"/>
        <w:numPr>
          <w:ilvl w:val="0"/>
          <w:numId w:val="23"/>
        </w:numPr>
      </w:pPr>
      <w:r>
        <w:t>Payload suppliers are responsible for unpacking and incoming inspection &amp; test (flight, non-flight hardware, GSE) prior to acceptance by the SVI.</w:t>
      </w:r>
    </w:p>
    <w:p w14:paraId="379D2DF1" w14:textId="77777777" w:rsidR="00DB15E9" w:rsidRDefault="0078312E">
      <w:pPr>
        <w:pStyle w:val="ESSPBodyText"/>
        <w:numPr>
          <w:ilvl w:val="0"/>
          <w:numId w:val="23"/>
        </w:numPr>
      </w:pPr>
      <w:r>
        <w:t>Payload suppliers are responsible for providing, maintaining and performing certification, calibration, maintenance, and archiving tasks for all payload unique GSE.</w:t>
      </w:r>
    </w:p>
    <w:p w14:paraId="23F84B99" w14:textId="77777777" w:rsidR="00DB15E9" w:rsidRDefault="0078312E">
      <w:pPr>
        <w:pStyle w:val="ESSPBodyText"/>
        <w:numPr>
          <w:ilvl w:val="0"/>
          <w:numId w:val="23"/>
        </w:numPr>
      </w:pPr>
      <w:r>
        <w:t>Payload suppliers are responsible for any intra-payload (not connected to any Commodity Bus interface) flight and non-flight harnessing and cables.</w:t>
      </w:r>
    </w:p>
    <w:p w14:paraId="0778E648" w14:textId="77777777" w:rsidR="00DB15E9" w:rsidRDefault="0078312E">
      <w:pPr>
        <w:pStyle w:val="ESSPBodyText"/>
        <w:numPr>
          <w:ilvl w:val="0"/>
          <w:numId w:val="23"/>
        </w:numPr>
      </w:pPr>
      <w:r>
        <w:t>Payload suppliers should provide non-flight harnessing, thermal treatments and structural elements as required for any pre-shipment testing.</w:t>
      </w:r>
    </w:p>
    <w:p w14:paraId="44270663" w14:textId="77777777" w:rsidR="00DB15E9" w:rsidRDefault="0078312E">
      <w:pPr>
        <w:pStyle w:val="ESSPBodyText"/>
        <w:numPr>
          <w:ilvl w:val="0"/>
          <w:numId w:val="23"/>
        </w:numPr>
      </w:pPr>
      <w:r>
        <w:t xml:space="preserve">Payload suppliers should provide storage requirements, safe-to-mate procedures; functional testing procedures, scripts, expected results, constraints and sensitivities as related to the payload tasks to be performed at the vehicle level. </w:t>
      </w:r>
    </w:p>
    <w:p w14:paraId="282CE094" w14:textId="77777777" w:rsidR="00DB15E9" w:rsidRDefault="0078312E">
      <w:pPr>
        <w:pStyle w:val="ESSPBodyText"/>
        <w:numPr>
          <w:ilvl w:val="0"/>
          <w:numId w:val="23"/>
        </w:numPr>
      </w:pPr>
      <w:r>
        <w:t>Payload suppliers should plan for long-term storage of payloads, as required, by the host spacecraft.</w:t>
      </w:r>
      <w:r>
        <w:rPr>
          <w:rFonts w:asciiTheme="majorHAnsi" w:hAnsiTheme="majorHAnsi" w:cstheme="majorHAnsi"/>
        </w:rPr>
        <w:t xml:space="preserve"> </w:t>
      </w:r>
    </w:p>
    <w:p w14:paraId="5CB054B9" w14:textId="77777777" w:rsidR="00DB15E9" w:rsidRDefault="00DB15E9">
      <w:pPr>
        <w:pStyle w:val="ESSPBodyText"/>
      </w:pPr>
    </w:p>
    <w:sectPr w:rsidR="00DB15E9">
      <w:pgSz w:w="12240" w:h="15840"/>
      <w:pgMar w:top="1440" w:right="1440" w:bottom="1440" w:left="1440" w:header="720" w:footer="720" w:gutter="0"/>
      <w:lnNumType w:countBy="1" w:distance="-32767" w:restart="continuous"/>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4" w:author="Author" w:initials="A">
    <w:p w14:paraId="6017CBC2" w14:textId="77777777" w:rsidR="00DB15E9" w:rsidRDefault="0078312E">
      <w:pPr>
        <w:pStyle w:val="CommentText"/>
      </w:pPr>
      <w:r>
        <w:rPr>
          <w:rStyle w:val="CommentReference"/>
        </w:rPr>
        <w:annotationRef/>
      </w:r>
      <w:r>
        <w:t>Need to add a section on orbit position accuracy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17CB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85A82" w14:textId="77777777" w:rsidR="00BA5284" w:rsidRDefault="00BA5284">
      <w:r>
        <w:separator/>
      </w:r>
    </w:p>
  </w:endnote>
  <w:endnote w:type="continuationSeparator" w:id="0">
    <w:p w14:paraId="2A54854D" w14:textId="77777777" w:rsidR="00BA5284" w:rsidRDefault="00BA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w:altName w:val="Book Antiqua"/>
    <w:charset w:val="00"/>
    <w:family w:val="auto"/>
    <w:pitch w:val="variable"/>
    <w:sig w:usb0="A00002FF" w:usb1="7800205A" w:usb2="14600000" w:usb3="00000000" w:csb0="00000193"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SHYDJ+TimesNewRomanPSMT">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A7A1B" w14:textId="77777777" w:rsidR="00BA5284" w:rsidRDefault="00BA5284">
      <w:r>
        <w:separator/>
      </w:r>
    </w:p>
  </w:footnote>
  <w:footnote w:type="continuationSeparator" w:id="0">
    <w:p w14:paraId="689A9E8C" w14:textId="77777777" w:rsidR="00BA5284" w:rsidRDefault="00BA5284">
      <w:r>
        <w:continuationSeparator/>
      </w:r>
    </w:p>
  </w:footnote>
  <w:footnote w:id="1">
    <w:p w14:paraId="3C83EA40" w14:textId="77777777" w:rsidR="00DB15E9" w:rsidRDefault="0078312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20"/>
          <w:szCs w:val="20"/>
        </w:rPr>
        <w:t>“Earth Venture Instrument-1,” from Program Element Appendix (PEA) J of the Second Stand Alone Missions of Opportunity Notice (SALMON-2), 2012.</w:t>
      </w:r>
    </w:p>
  </w:footnote>
  <w:footnote w:id="2">
    <w:p w14:paraId="2BBE6F92" w14:textId="77777777" w:rsidR="00DB15E9" w:rsidRDefault="0078312E">
      <w:pPr>
        <w:pStyle w:val="FootnoteText"/>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In the context of this guideline, the Primary Manufacturers are the spacecraft manufacturers who responded to the CII RFI for GEO Hosted Payload Opportunities. They comprise more than 90% of the GEO commercial satellite market, based upon spacecraft either on-orbit or with publicly-announced satellite operator contracts.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07DE4" w14:textId="77777777" w:rsidR="00DB15E9" w:rsidRDefault="00BA5284">
    <w:pPr>
      <w:pStyle w:val="Header"/>
      <w:rPr>
        <w:rFonts w:ascii="Helvetica" w:hAnsi="Helvetica"/>
      </w:rPr>
    </w:pPr>
    <w:r>
      <w:rPr>
        <w:noProof/>
      </w:rPr>
      <w:pict w14:anchorId="253F4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94.9pt;height:164.95pt;rotation:315;z-index:-251649024;mso-wrap-edited:f;mso-position-horizontal:center;mso-position-horizontal-relative:margin;mso-position-vertical:center;mso-position-vertical-relative:margin" wrapcoords="21436 883 15512 883 14170 981 14138 5498 11847 785 11421 883 11160 883 10538 5890 8214 1374 7494 589 7363 883 5792 785 3109 1276 2749 981 2225 785 523 883 425 1374 458 16200 621 16690 2323 16690 2945 16494 3436 15709 3796 14629 4058 13254 5170 16396 5661 17378 5923 16592 5956 10014 7985 16003 8640 17476 8967 16690 9654 16690 9752 16887 10112 16494 10210 16101 10538 12665 11094 12076 11978 14530 13189 17181 13352 16690 13647 16592 13647 16396 13450 14727 14007 16200 14661 17181 14825 16690 14890 14825 14923 10112 15512 9720 16952 9621 19210 16298 19701 17476 19996 16592 20029 3141 21534 2945 21534 1276 21436 883" fillcolor="silver" stroked="f">
          <v:fill opacity=".5"/>
          <v:textpath style="font-family:&quot;Helvetic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4253"/>
      <w:gridCol w:w="1867"/>
    </w:tblGrid>
    <w:tr w:rsidR="00DB15E9" w14:paraId="67C13FAE" w14:textId="77777777">
      <w:trPr>
        <w:cantSplit/>
        <w:trHeight w:val="69"/>
      </w:trPr>
      <w:tc>
        <w:tcPr>
          <w:tcW w:w="9445" w:type="dxa"/>
          <w:gridSpan w:val="3"/>
          <w:tcBorders>
            <w:top w:val="single" w:sz="4" w:space="0" w:color="auto"/>
            <w:left w:val="single" w:sz="4" w:space="0" w:color="auto"/>
            <w:bottom w:val="single" w:sz="4" w:space="0" w:color="auto"/>
            <w:right w:val="single" w:sz="4" w:space="0" w:color="auto"/>
          </w:tcBorders>
          <w:vAlign w:val="center"/>
        </w:tcPr>
        <w:p w14:paraId="3DB1C437" w14:textId="77777777" w:rsidR="00DB15E9" w:rsidRDefault="0078312E">
          <w:pPr>
            <w:pStyle w:val="Header"/>
            <w:rPr>
              <w:bCs/>
            </w:rPr>
          </w:pPr>
          <w:r>
            <w:rPr>
              <w:bCs/>
            </w:rPr>
            <w:t>Hosted Payload Interface Document</w:t>
          </w:r>
        </w:p>
      </w:tc>
    </w:tr>
    <w:tr w:rsidR="00DB15E9" w14:paraId="7C1F493C" w14:textId="77777777">
      <w:trPr>
        <w:cantSplit/>
        <w:trHeight w:val="69"/>
      </w:trPr>
      <w:tc>
        <w:tcPr>
          <w:tcW w:w="3325" w:type="dxa"/>
          <w:vMerge w:val="restart"/>
          <w:tcBorders>
            <w:top w:val="single" w:sz="4" w:space="0" w:color="auto"/>
            <w:left w:val="single" w:sz="4" w:space="0" w:color="auto"/>
            <w:right w:val="single" w:sz="4" w:space="0" w:color="auto"/>
          </w:tcBorders>
          <w:vAlign w:val="center"/>
        </w:tcPr>
        <w:p w14:paraId="7BB4DDE9" w14:textId="77777777" w:rsidR="00DB15E9" w:rsidRDefault="0078312E">
          <w:pPr>
            <w:pStyle w:val="Header"/>
            <w:rPr>
              <w:lang w:val="pt-BR"/>
            </w:rPr>
          </w:pPr>
          <w:r>
            <w:rPr>
              <w:lang w:val="pt-BR"/>
            </w:rPr>
            <w:t>Document No: HPIG0001</w:t>
          </w:r>
        </w:p>
      </w:tc>
      <w:tc>
        <w:tcPr>
          <w:tcW w:w="4253" w:type="dxa"/>
          <w:vMerge w:val="restart"/>
          <w:tcBorders>
            <w:top w:val="single" w:sz="4" w:space="0" w:color="auto"/>
            <w:left w:val="single" w:sz="4" w:space="0" w:color="auto"/>
            <w:right w:val="single" w:sz="4" w:space="0" w:color="auto"/>
          </w:tcBorders>
          <w:vAlign w:val="center"/>
        </w:tcPr>
        <w:p w14:paraId="64B21C78" w14:textId="77777777" w:rsidR="00DB15E9" w:rsidRDefault="0078312E">
          <w:pPr>
            <w:pStyle w:val="Header"/>
          </w:pPr>
          <w:r>
            <w:t xml:space="preserve">Effective </w:t>
          </w:r>
          <w:r>
            <w:fldChar w:fldCharType="begin"/>
          </w:r>
          <w:r>
            <w:instrText xml:space="preserve"> DATE \@ "M/d/yyyy" </w:instrText>
          </w:r>
          <w:r>
            <w:fldChar w:fldCharType="separate"/>
          </w:r>
          <w:r w:rsidR="00BE147E">
            <w:rPr>
              <w:noProof/>
            </w:rPr>
            <w:t>1/24/2017</w:t>
          </w:r>
          <w:r>
            <w:fldChar w:fldCharType="end"/>
          </w:r>
        </w:p>
      </w:tc>
      <w:tc>
        <w:tcPr>
          <w:tcW w:w="1867" w:type="dxa"/>
          <w:tcBorders>
            <w:top w:val="single" w:sz="4" w:space="0" w:color="auto"/>
            <w:left w:val="single" w:sz="4" w:space="0" w:color="auto"/>
            <w:bottom w:val="single" w:sz="4" w:space="0" w:color="auto"/>
            <w:right w:val="single" w:sz="4" w:space="0" w:color="auto"/>
          </w:tcBorders>
        </w:tcPr>
        <w:p w14:paraId="1FFB05EE" w14:textId="77777777" w:rsidR="00DB15E9" w:rsidRDefault="0078312E">
          <w:pPr>
            <w:pStyle w:val="Header"/>
          </w:pPr>
          <w:r>
            <w:t>Version:</w:t>
          </w:r>
          <w:r>
            <w:rPr>
              <w:rFonts w:ascii="Times New Roman" w:hAnsi="Times New Roman"/>
              <w:sz w:val="20"/>
              <w:szCs w:val="20"/>
            </w:rPr>
            <w:t xml:space="preserve"> </w:t>
          </w:r>
          <w:r>
            <w:t>Initial</w:t>
          </w:r>
        </w:p>
      </w:tc>
    </w:tr>
    <w:tr w:rsidR="00DB15E9" w14:paraId="5C79E50B" w14:textId="77777777">
      <w:trPr>
        <w:cantSplit/>
        <w:trHeight w:val="69"/>
      </w:trPr>
      <w:tc>
        <w:tcPr>
          <w:tcW w:w="3325" w:type="dxa"/>
          <w:vMerge/>
          <w:tcBorders>
            <w:left w:val="single" w:sz="4" w:space="0" w:color="auto"/>
            <w:bottom w:val="single" w:sz="4" w:space="0" w:color="auto"/>
            <w:right w:val="single" w:sz="4" w:space="0" w:color="auto"/>
          </w:tcBorders>
          <w:vAlign w:val="center"/>
        </w:tcPr>
        <w:p w14:paraId="57497177" w14:textId="77777777" w:rsidR="00DB15E9" w:rsidRDefault="00DB15E9">
          <w:pPr>
            <w:pStyle w:val="Header"/>
            <w:rPr>
              <w:lang w:val="pt-BR"/>
            </w:rPr>
          </w:pPr>
        </w:p>
      </w:tc>
      <w:tc>
        <w:tcPr>
          <w:tcW w:w="4253" w:type="dxa"/>
          <w:vMerge/>
          <w:tcBorders>
            <w:left w:val="single" w:sz="4" w:space="0" w:color="auto"/>
            <w:bottom w:val="single" w:sz="4" w:space="0" w:color="auto"/>
            <w:right w:val="single" w:sz="4" w:space="0" w:color="auto"/>
          </w:tcBorders>
          <w:vAlign w:val="center"/>
        </w:tcPr>
        <w:p w14:paraId="3792C703" w14:textId="77777777" w:rsidR="00DB15E9" w:rsidRDefault="00DB15E9">
          <w:pPr>
            <w:pStyle w:val="Header"/>
          </w:pPr>
        </w:p>
      </w:tc>
      <w:tc>
        <w:tcPr>
          <w:tcW w:w="1867" w:type="dxa"/>
          <w:tcBorders>
            <w:top w:val="single" w:sz="4" w:space="0" w:color="auto"/>
            <w:left w:val="single" w:sz="4" w:space="0" w:color="auto"/>
            <w:bottom w:val="single" w:sz="4" w:space="0" w:color="auto"/>
            <w:right w:val="single" w:sz="4" w:space="0" w:color="auto"/>
          </w:tcBorders>
        </w:tcPr>
        <w:p w14:paraId="14E97D55" w14:textId="77777777" w:rsidR="00DB15E9" w:rsidRDefault="0078312E">
          <w:pPr>
            <w:pStyle w:val="Header"/>
          </w:pPr>
          <w:r>
            <w:t xml:space="preserve">Page </w:t>
          </w:r>
          <w:r>
            <w:fldChar w:fldCharType="begin"/>
          </w:r>
          <w:r>
            <w:instrText xml:space="preserve"> PAGE  \* Arabic  \* MERGEFORMAT </w:instrText>
          </w:r>
          <w:r>
            <w:fldChar w:fldCharType="separate"/>
          </w:r>
          <w:r w:rsidR="00BE147E">
            <w:rPr>
              <w:noProof/>
            </w:rPr>
            <w:t>102</w:t>
          </w:r>
          <w:r>
            <w:fldChar w:fldCharType="end"/>
          </w:r>
          <w:r>
            <w:t xml:space="preserve"> of </w:t>
          </w:r>
          <w:r w:rsidR="00BA5284">
            <w:fldChar w:fldCharType="begin"/>
          </w:r>
          <w:r w:rsidR="00BA5284">
            <w:instrText xml:space="preserve"> NUMPAGES  \* Arabic  \* MERGEFORMAT </w:instrText>
          </w:r>
          <w:r w:rsidR="00BA5284">
            <w:fldChar w:fldCharType="separate"/>
          </w:r>
          <w:r w:rsidR="00BE147E">
            <w:rPr>
              <w:noProof/>
            </w:rPr>
            <w:t>113</w:t>
          </w:r>
          <w:r w:rsidR="00BA5284">
            <w:rPr>
              <w:noProof/>
            </w:rPr>
            <w:fldChar w:fldCharType="end"/>
          </w:r>
        </w:p>
      </w:tc>
    </w:tr>
  </w:tbl>
  <w:p w14:paraId="4B54B58E" w14:textId="77777777" w:rsidR="00DB15E9" w:rsidRDefault="00DB15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7202" w14:textId="77777777" w:rsidR="00DB15E9" w:rsidRDefault="0078312E">
    <w:pPr>
      <w:pStyle w:val="Header"/>
      <w:tabs>
        <w:tab w:val="clear" w:pos="4320"/>
        <w:tab w:val="clear" w:pos="8640"/>
        <w:tab w:val="right" w:pos="9360"/>
      </w:tabs>
      <w:rPr>
        <w:rFonts w:ascii="Helvetica" w:hAnsi="Helvetica"/>
      </w:rPr>
    </w:pPr>
    <w:r>
      <w:rPr>
        <w:rFonts w:ascii="Helvetica" w:hAnsi="Helvetica"/>
        <w:noProof/>
      </w:rPr>
      <w:drawing>
        <wp:inline distT="0" distB="0" distL="0" distR="0" wp14:anchorId="080F76F4" wp14:editId="545326FC">
          <wp:extent cx="1149201" cy="94890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atball.jpg"/>
                  <pic:cNvPicPr/>
                </pic:nvPicPr>
                <pic:blipFill>
                  <a:blip r:embed="rId1">
                    <a:extLst>
                      <a:ext uri="{28A0092B-C50C-407E-A947-70E740481C1C}">
                        <a14:useLocalDpi xmlns:a14="http://schemas.microsoft.com/office/drawing/2010/main" val="0"/>
                      </a:ext>
                    </a:extLst>
                  </a:blip>
                  <a:stretch>
                    <a:fillRect/>
                  </a:stretch>
                </pic:blipFill>
                <pic:spPr>
                  <a:xfrm>
                    <a:off x="0" y="0"/>
                    <a:ext cx="1153739" cy="952652"/>
                  </a:xfrm>
                  <a:prstGeom prst="rect">
                    <a:avLst/>
                  </a:prstGeom>
                </pic:spPr>
              </pic:pic>
            </a:graphicData>
          </a:graphic>
        </wp:inline>
      </w:drawing>
    </w:r>
    <w:r>
      <w:rPr>
        <w:rFonts w:ascii="Helvetica" w:hAnsi="Helvetica"/>
      </w:rPr>
      <w:tab/>
    </w:r>
    <w:r>
      <w:rPr>
        <w:noProof/>
      </w:rPr>
      <w:drawing>
        <wp:inline distT="0" distB="0" distL="0" distR="0" wp14:anchorId="150B822B" wp14:editId="758D5F52">
          <wp:extent cx="1405890" cy="888365"/>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5890" cy="888365"/>
                  </a:xfrm>
                  <a:prstGeom prst="rect">
                    <a:avLst/>
                  </a:prstGeom>
                  <a:noFill/>
                  <a:ln>
                    <a:noFill/>
                  </a:ln>
                </pic:spPr>
              </pic:pic>
            </a:graphicData>
          </a:graphic>
        </wp:inline>
      </w:drawing>
    </w:r>
    <w:r w:rsidR="00BA5284">
      <w:rPr>
        <w:noProof/>
      </w:rPr>
      <w:pict w14:anchorId="4B8EB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94.9pt;height:164.95pt;rotation:315;z-index:-251646976;mso-wrap-edited:f;mso-position-horizontal:center;mso-position-horizontal-relative:margin;mso-position-vertical:center;mso-position-vertical-relative:margin" wrapcoords="21436 883 15512 883 14170 981 14138 5498 11847 785 11421 883 11160 883 10538 5890 8214 1374 7494 589 7363 883 5792 785 3109 1276 2749 981 2225 785 523 883 425 1374 458 16200 621 16690 2323 16690 2945 16494 3436 15709 3796 14629 4058 13254 5170 16396 5661 17378 5923 16592 5956 10014 7985 16003 8640 17476 8967 16690 9654 16690 9752 16887 10112 16494 10210 16101 10538 12665 11094 12076 11978 14530 13189 17181 13352 16690 13647 16592 13647 16396 13450 14727 14007 16200 14661 17181 14825 16690 14890 14825 14923 10112 15512 9720 16952 9621 19210 16298 19701 17476 19996 16592 20029 3141 21534 2945 21534 1276 21436 883" fillcolor="silver" stroked="f">
          <v:fill opacity=".5"/>
          <v:textpath style="font-family:&quot;Helvetic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B6E1D"/>
    <w:multiLevelType w:val="hybridMultilevel"/>
    <w:tmpl w:val="1A663A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F7E1C"/>
    <w:multiLevelType w:val="multilevel"/>
    <w:tmpl w:val="23EA552E"/>
    <w:lvl w:ilvl="0">
      <w:start w:val="1"/>
      <w:numFmt w:val="decimal"/>
      <w:lvlText w:val="%1"/>
      <w:lvlJc w:val="left"/>
      <w:pPr>
        <w:ind w:left="432" w:hanging="432"/>
      </w:pPr>
      <w:rPr>
        <w:rFonts w:hint="default"/>
        <w:b/>
        <w:i w:val="0"/>
        <w:caps/>
        <w:color w:val="auto"/>
        <w:sz w:val="28"/>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556F55"/>
    <w:multiLevelType w:val="hybridMultilevel"/>
    <w:tmpl w:val="5EDEF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AC55709"/>
    <w:multiLevelType w:val="hybridMultilevel"/>
    <w:tmpl w:val="9ACAB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D485C"/>
    <w:multiLevelType w:val="hybridMultilevel"/>
    <w:tmpl w:val="6924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5235A4"/>
    <w:multiLevelType w:val="multilevel"/>
    <w:tmpl w:val="CC406C0E"/>
    <w:name w:val="Chapter2"/>
    <w:lvl w:ilvl="0">
      <w:start w:val="1"/>
      <w:numFmt w:val="decimal"/>
      <w:lvlText w:val="%1.0"/>
      <w:lvlJc w:val="left"/>
      <w:pPr>
        <w:tabs>
          <w:tab w:val="num" w:pos="576"/>
        </w:tabs>
        <w:ind w:left="576" w:hanging="576"/>
      </w:pPr>
      <w:rPr>
        <w:rFonts w:ascii="Times New Roman" w:hAnsi="Times New Roman" w:hint="default"/>
        <w:b/>
        <w:i w:val="0"/>
        <w:caps/>
        <w:color w:val="auto"/>
        <w:sz w:val="28"/>
      </w:rPr>
    </w:lvl>
    <w:lvl w:ilvl="1">
      <w:start w:val="1"/>
      <w:numFmt w:val="decimal"/>
      <w:lvlText w:val="%1.%2"/>
      <w:lvlJc w:val="left"/>
      <w:pPr>
        <w:tabs>
          <w:tab w:val="num" w:pos="432"/>
        </w:tabs>
        <w:ind w:left="432" w:hanging="432"/>
      </w:pPr>
      <w:rPr>
        <w:rFonts w:ascii="Times New Roman" w:hAnsi="Times New Roman" w:hint="default"/>
        <w:b/>
        <w:i w:val="0"/>
        <w:caps w:val="0"/>
        <w:sz w:val="24"/>
      </w:rPr>
    </w:lvl>
    <w:lvl w:ilvl="2">
      <w:start w:val="1"/>
      <w:numFmt w:val="decimal"/>
      <w:lvlText w:val="%1.%2.%3"/>
      <w:lvlJc w:val="left"/>
      <w:pPr>
        <w:ind w:left="720" w:hanging="720"/>
      </w:pPr>
      <w:rPr>
        <w:rFonts w:ascii="Times New Roman" w:hAnsi="Times New Roman" w:hint="default"/>
        <w:b w:val="0"/>
        <w:i w:val="0"/>
        <w:sz w:val="24"/>
      </w:rPr>
    </w:lvl>
    <w:lvl w:ilvl="3">
      <w:start w:val="1"/>
      <w:numFmt w:val="decimal"/>
      <w:lvlText w:val="%1.%2.%3.%4"/>
      <w:lvlJc w:val="left"/>
      <w:pPr>
        <w:tabs>
          <w:tab w:val="num" w:pos="864"/>
        </w:tabs>
        <w:ind w:left="864" w:hanging="864"/>
      </w:pPr>
      <w:rPr>
        <w:rFonts w:ascii="Times New Roman" w:hAnsi="Times New Roman" w:hint="default"/>
        <w:b w:val="0"/>
        <w:i/>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D266B06"/>
    <w:multiLevelType w:val="hybridMultilevel"/>
    <w:tmpl w:val="2D06C7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0815DC"/>
    <w:multiLevelType w:val="multilevel"/>
    <w:tmpl w:val="26DE6EF0"/>
    <w:lvl w:ilvl="0">
      <w:start w:val="1"/>
      <w:numFmt w:val="upperLetter"/>
      <w:pStyle w:val="Heading7"/>
      <w:suff w:val="space"/>
      <w:lvlText w:val="Appendix %1"/>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OutlineLevel2"/>
      <w:suff w:val="space"/>
      <w:lvlText w:val="%1.%2"/>
      <w:lvlJc w:val="left"/>
      <w:pPr>
        <w:ind w:left="504" w:hanging="504"/>
      </w:pPr>
      <w:rPr>
        <w:rFonts w:ascii="Times New Roman" w:hAnsi="Times New Roman" w:hint="default"/>
        <w:b/>
        <w:i w:val="0"/>
        <w:caps w:val="0"/>
        <w:sz w:val="24"/>
      </w:rPr>
    </w:lvl>
    <w:lvl w:ilvl="2">
      <w:start w:val="1"/>
      <w:numFmt w:val="decimal"/>
      <w:pStyle w:val="AppendixOutlineLevel3"/>
      <w:lvlText w:val="%1.%2.%3"/>
      <w:lvlJc w:val="left"/>
      <w:pPr>
        <w:tabs>
          <w:tab w:val="num" w:pos="720"/>
        </w:tabs>
        <w:ind w:left="504" w:hanging="504"/>
      </w:pPr>
      <w:rPr>
        <w:rFonts w:ascii="Times New Roman" w:hAnsi="Times New Roman" w:hint="default"/>
        <w:b/>
        <w:i w:val="0"/>
        <w:sz w:val="24"/>
      </w:rPr>
    </w:lvl>
    <w:lvl w:ilvl="3">
      <w:start w:val="1"/>
      <w:numFmt w:val="none"/>
      <w:pStyle w:val="AppendixOutlineLevel4"/>
      <w:suff w:val="nothing"/>
      <w:lvlText w:val=""/>
      <w:lvlJc w:val="left"/>
      <w:pPr>
        <w:ind w:left="0" w:firstLine="0"/>
      </w:pPr>
      <w:rPr>
        <w:rFonts w:ascii="Times New Roman" w:hAnsi="Times New Roman" w:hint="default"/>
        <w:b w:val="0"/>
        <w:i/>
        <w:sz w:val="24"/>
      </w:rPr>
    </w:lvl>
    <w:lvl w:ilvl="4">
      <w:start w:val="1"/>
      <w:numFmt w:val="none"/>
      <w:pStyle w:val="AppendixOutlineLevel5"/>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AD0AFA"/>
    <w:multiLevelType w:val="hybridMultilevel"/>
    <w:tmpl w:val="DB3040F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280191"/>
    <w:multiLevelType w:val="multilevel"/>
    <w:tmpl w:val="55C255E6"/>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lvlText w:val="%1.%2.%3.%4..%6.1"/>
      <w:lvlJc w:val="left"/>
      <w:pPr>
        <w:tabs>
          <w:tab w:val="num" w:pos="1152"/>
        </w:tabs>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37A12F9"/>
    <w:multiLevelType w:val="hybridMultilevel"/>
    <w:tmpl w:val="154A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55924"/>
    <w:multiLevelType w:val="multilevel"/>
    <w:tmpl w:val="FBD6DA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134" w:hanging="864"/>
      </w:pPr>
      <w:rPr>
        <w:rFonts w:hint="default"/>
      </w:rPr>
    </w:lvl>
    <w:lvl w:ilvl="4">
      <w:start w:val="1"/>
      <w:numFmt w:val="decimal"/>
      <w:pStyle w:val="Heading5"/>
      <w:lvlText w:val="%1.%2.%3.%4.%5"/>
      <w:lvlJc w:val="left"/>
      <w:pPr>
        <w:ind w:left="1008" w:hanging="1008"/>
      </w:pPr>
      <w:rPr>
        <w:rFonts w:hint="default"/>
      </w:rPr>
    </w:lvl>
    <w:lvl w:ilvl="5">
      <w:start w:val="1"/>
      <w:numFmt w:val="decimal"/>
      <w:lvlRestart w:val="0"/>
      <w:pStyle w:val="Heading6"/>
      <w:lvlText w:val="%1.%2.%3.%4.%5.%6"/>
      <w:lvlJc w:val="left"/>
      <w:pPr>
        <w:tabs>
          <w:tab w:val="num" w:pos="1152"/>
        </w:tabs>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648D4C61"/>
    <w:multiLevelType w:val="hybridMultilevel"/>
    <w:tmpl w:val="D6840B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202811"/>
    <w:multiLevelType w:val="multilevel"/>
    <w:tmpl w:val="D1A0A674"/>
    <w:lvl w:ilvl="0">
      <w:start w:val="1"/>
      <w:numFmt w:val="decimal"/>
      <w:pStyle w:val="ESSPNumberedList"/>
      <w:lvlText w:val="%1)"/>
      <w:lvlJc w:val="left"/>
      <w:pPr>
        <w:ind w:left="720" w:hanging="36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6"/>
  </w:num>
  <w:num w:numId="22">
    <w:abstractNumId w:val="10"/>
  </w:num>
  <w:num w:numId="23">
    <w:abstractNumId w:val="3"/>
  </w:num>
  <w:num w:numId="24">
    <w:abstractNumId w:val="11"/>
    <w:lvlOverride w:ilvl="0">
      <w:startOverride w:val="2"/>
    </w:lvlOverride>
    <w:lvlOverride w:ilvl="1">
      <w:startOverride w:val="9"/>
    </w:lvlOverride>
    <w:lvlOverride w:ilvl="2">
      <w:startOverride w:val="8"/>
    </w:lvlOverride>
  </w:num>
  <w:num w:numId="25">
    <w:abstractNumId w:val="2"/>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activeWritingStyle w:appName="MSWord" w:lang="fr-FR" w:vendorID="64" w:dllVersion="131078" w:nlCheck="1" w:checkStyle="0"/>
  <w:activeWritingStyle w:appName="MSWord" w:lang="pt-BR"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8"/>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5E9"/>
    <w:rsid w:val="00046FBE"/>
    <w:rsid w:val="00214733"/>
    <w:rsid w:val="00386442"/>
    <w:rsid w:val="00735988"/>
    <w:rsid w:val="0078312E"/>
    <w:rsid w:val="00A40E76"/>
    <w:rsid w:val="00B72054"/>
    <w:rsid w:val="00BA5284"/>
    <w:rsid w:val="00BC313E"/>
    <w:rsid w:val="00BE147E"/>
    <w:rsid w:val="00C42DA2"/>
    <w:rsid w:val="00DB15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1CB84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lsdException w:name="heading 7" w:uiPriority="99" w:unhideWhenUsed="1"/>
    <w:lsdException w:name="heading 8" w:uiPriority="99" w:unhideWhenUsed="1"/>
    <w:lsdException w:name="heading 9" w:uiPriority="99" w:unhideWhenUsed="1"/>
    <w:lsdException w:name="index 1" w:semiHidden="1" w:unhideWhenUsed="1"/>
    <w:lsdException w:name="index 2" w:unhideWhenUsed="1"/>
    <w:lsdException w:name="index 3" w:uiPriority="99" w:unhideWhenUsed="1"/>
    <w:lsdException w:name="index 4" w:unhideWhenUsed="1"/>
    <w:lsdException w:name="index 5" w:unhideWhenUsed="1"/>
    <w:lsdException w:name="index 6"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unhideWhenUsed="1"/>
    <w:lsdException w:name="Block Text" w:uiPriority="99" w:unhideWhenUsed="1"/>
    <w:lsdException w:name="Hyperlink" w:uiPriority="99" w:unhideWhenUsed="1"/>
    <w:lsdException w:name="FollowedHyperlink" w:uiPriority="99" w:unhideWhenUsed="1"/>
    <w:lsdException w:name="Strong" w:uiPriority="22" w:qFormat="1"/>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440"/>
        <w:tab w:val="left" w:pos="4140"/>
        <w:tab w:val="left" w:pos="7920"/>
      </w:tabs>
      <w:spacing w:after="120"/>
    </w:pPr>
    <w:rPr>
      <w:rFonts w:ascii="Arial" w:hAnsi="Arial"/>
      <w:sz w:val="24"/>
      <w:szCs w:val="22"/>
    </w:rPr>
  </w:style>
  <w:style w:type="paragraph" w:styleId="Heading1">
    <w:name w:val="heading 1"/>
    <w:basedOn w:val="Normal"/>
    <w:next w:val="Normal"/>
    <w:link w:val="Heading1Char"/>
    <w:uiPriority w:val="99"/>
    <w:qFormat/>
    <w:pPr>
      <w:keepNext/>
      <w:pageBreakBefore/>
      <w:numPr>
        <w:numId w:val="15"/>
      </w:numPr>
      <w:tabs>
        <w:tab w:val="clear" w:pos="1440"/>
        <w:tab w:val="clear" w:pos="4140"/>
        <w:tab w:val="clear" w:pos="7920"/>
      </w:tabs>
      <w:spacing w:before="240" w:after="60"/>
      <w:outlineLvl w:val="0"/>
    </w:pPr>
    <w:rPr>
      <w:rFonts w:ascii="Times New Roman" w:hAnsi="Times New Roman" w:cs="Arial"/>
      <w:b/>
      <w:bCs/>
      <w:caps/>
      <w:kern w:val="32"/>
      <w:sz w:val="28"/>
      <w:szCs w:val="32"/>
    </w:rPr>
  </w:style>
  <w:style w:type="paragraph" w:styleId="Heading2">
    <w:name w:val="heading 2"/>
    <w:basedOn w:val="Normal"/>
    <w:next w:val="Normal"/>
    <w:link w:val="Heading2Char"/>
    <w:uiPriority w:val="99"/>
    <w:qFormat/>
    <w:pPr>
      <w:keepNext/>
      <w:numPr>
        <w:ilvl w:val="1"/>
        <w:numId w:val="15"/>
      </w:numPr>
      <w:tabs>
        <w:tab w:val="clear" w:pos="1440"/>
        <w:tab w:val="clear" w:pos="4140"/>
        <w:tab w:val="clear" w:pos="7920"/>
      </w:tabs>
      <w:spacing w:before="240" w:after="60"/>
      <w:outlineLvl w:val="1"/>
    </w:pPr>
    <w:rPr>
      <w:rFonts w:ascii="Times New Roman" w:hAnsi="Times New Roman"/>
      <w:b/>
      <w:bCs/>
      <w:iCs/>
      <w:szCs w:val="28"/>
    </w:rPr>
  </w:style>
  <w:style w:type="paragraph" w:styleId="Heading3">
    <w:name w:val="heading 3"/>
    <w:basedOn w:val="Normal"/>
    <w:next w:val="Normal"/>
    <w:link w:val="Heading3Char"/>
    <w:uiPriority w:val="99"/>
    <w:qFormat/>
    <w:pPr>
      <w:keepNext/>
      <w:numPr>
        <w:ilvl w:val="2"/>
        <w:numId w:val="15"/>
      </w:numPr>
      <w:tabs>
        <w:tab w:val="clear" w:pos="1440"/>
        <w:tab w:val="clear" w:pos="4140"/>
        <w:tab w:val="clear" w:pos="7920"/>
      </w:tabs>
      <w:spacing w:before="120" w:after="0"/>
      <w:contextualSpacing/>
      <w:outlineLvl w:val="2"/>
    </w:pPr>
    <w:rPr>
      <w:rFonts w:ascii="Times New Roman" w:hAnsi="Times New Roman" w:cs="Arial"/>
      <w:bCs/>
      <w:szCs w:val="26"/>
      <w:u w:val="single"/>
    </w:rPr>
  </w:style>
  <w:style w:type="paragraph" w:styleId="Heading4">
    <w:name w:val="heading 4"/>
    <w:basedOn w:val="Normal"/>
    <w:next w:val="Normal"/>
    <w:link w:val="Heading4Char"/>
    <w:uiPriority w:val="99"/>
    <w:qFormat/>
    <w:pPr>
      <w:keepNext/>
      <w:numPr>
        <w:ilvl w:val="3"/>
        <w:numId w:val="15"/>
      </w:numPr>
      <w:tabs>
        <w:tab w:val="clear" w:pos="1440"/>
        <w:tab w:val="clear" w:pos="4140"/>
        <w:tab w:val="clear" w:pos="7920"/>
      </w:tabs>
      <w:spacing w:after="0"/>
      <w:outlineLvl w:val="3"/>
    </w:pPr>
    <w:rPr>
      <w:rFonts w:ascii="Times New Roman" w:hAnsi="Times New Roman"/>
      <w:i/>
      <w:color w:val="000000"/>
      <w:szCs w:val="24"/>
    </w:rPr>
  </w:style>
  <w:style w:type="paragraph" w:styleId="Heading5">
    <w:name w:val="heading 5"/>
    <w:basedOn w:val="Normal"/>
    <w:next w:val="Normal"/>
    <w:link w:val="Heading5Char"/>
    <w:uiPriority w:val="99"/>
    <w:qFormat/>
    <w:pPr>
      <w:keepNext/>
      <w:numPr>
        <w:ilvl w:val="4"/>
        <w:numId w:val="15"/>
      </w:numPr>
      <w:tabs>
        <w:tab w:val="clear" w:pos="1440"/>
        <w:tab w:val="clear" w:pos="4140"/>
        <w:tab w:val="clear" w:pos="7920"/>
      </w:tabs>
      <w:spacing w:after="0"/>
      <w:outlineLvl w:val="4"/>
    </w:pPr>
    <w:rPr>
      <w:rFonts w:ascii="Times New Roman" w:hAnsi="Times New Roman"/>
      <w:bCs/>
      <w:iCs/>
      <w:szCs w:val="24"/>
    </w:rPr>
  </w:style>
  <w:style w:type="paragraph" w:styleId="Heading6">
    <w:name w:val="heading 6"/>
    <w:basedOn w:val="Normal"/>
    <w:next w:val="Normal"/>
    <w:link w:val="Heading6Char"/>
    <w:uiPriority w:val="99"/>
    <w:pPr>
      <w:numPr>
        <w:ilvl w:val="5"/>
        <w:numId w:val="15"/>
      </w:numPr>
      <w:tabs>
        <w:tab w:val="clear" w:pos="1440"/>
        <w:tab w:val="clear" w:pos="4140"/>
        <w:tab w:val="clear" w:pos="7920"/>
      </w:tabs>
      <w:spacing w:before="240" w:after="60"/>
      <w:outlineLvl w:val="5"/>
    </w:pPr>
    <w:rPr>
      <w:rFonts w:ascii="Times New Roman" w:hAnsi="Times New Roman"/>
      <w:b/>
      <w:bCs/>
      <w:sz w:val="22"/>
    </w:rPr>
  </w:style>
  <w:style w:type="paragraph" w:styleId="Heading7">
    <w:name w:val="heading 7"/>
    <w:basedOn w:val="Normal"/>
    <w:next w:val="Normal"/>
    <w:link w:val="Heading7Char"/>
    <w:uiPriority w:val="99"/>
    <w:pPr>
      <w:pageBreakBefore/>
      <w:numPr>
        <w:numId w:val="2"/>
      </w:numPr>
      <w:tabs>
        <w:tab w:val="clear" w:pos="1440"/>
        <w:tab w:val="clear" w:pos="4140"/>
        <w:tab w:val="clear" w:pos="7920"/>
      </w:tabs>
      <w:spacing w:before="240" w:after="60"/>
      <w:jc w:val="center"/>
      <w:outlineLvl w:val="6"/>
    </w:pPr>
    <w:rPr>
      <w:b/>
      <w:sz w:val="32"/>
      <w:szCs w:val="24"/>
    </w:rPr>
  </w:style>
  <w:style w:type="paragraph" w:styleId="Heading8">
    <w:name w:val="heading 8"/>
    <w:basedOn w:val="Normal"/>
    <w:next w:val="Normal"/>
    <w:link w:val="Heading8Char"/>
    <w:uiPriority w:val="99"/>
    <w:pPr>
      <w:numPr>
        <w:ilvl w:val="7"/>
        <w:numId w:val="15"/>
      </w:numPr>
      <w:tabs>
        <w:tab w:val="clear" w:pos="1440"/>
        <w:tab w:val="clear" w:pos="4140"/>
        <w:tab w:val="clear" w:pos="7920"/>
      </w:tabs>
      <w:spacing w:before="240" w:after="60"/>
      <w:jc w:val="center"/>
      <w:outlineLvl w:val="7"/>
    </w:pPr>
    <w:rPr>
      <w:rFonts w:ascii="Times New Roman" w:hAnsi="Times New Roman"/>
      <w:b/>
      <w:iCs/>
      <w:sz w:val="28"/>
      <w:szCs w:val="24"/>
    </w:rPr>
  </w:style>
  <w:style w:type="paragraph" w:styleId="Heading9">
    <w:name w:val="heading 9"/>
    <w:basedOn w:val="Normal"/>
    <w:next w:val="Normal"/>
    <w:link w:val="Heading9Char"/>
    <w:uiPriority w:val="99"/>
    <w:pPr>
      <w:numPr>
        <w:ilvl w:val="8"/>
        <w:numId w:val="15"/>
      </w:numPr>
      <w:tabs>
        <w:tab w:val="clear" w:pos="1440"/>
        <w:tab w:val="clear" w:pos="4140"/>
        <w:tab w:val="clear" w:pos="7920"/>
      </w:tabs>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cs="Arial"/>
      <w:b/>
      <w:bCs/>
      <w:caps/>
      <w:kern w:val="32"/>
      <w:sz w:val="28"/>
      <w:szCs w:val="32"/>
    </w:rPr>
  </w:style>
  <w:style w:type="character" w:customStyle="1" w:styleId="Heading2Char">
    <w:name w:val="Heading 2 Char"/>
    <w:basedOn w:val="DefaultParagraphFont"/>
    <w:link w:val="Heading2"/>
    <w:uiPriority w:val="99"/>
    <w:rPr>
      <w:b/>
      <w:bCs/>
      <w:iCs/>
      <w:sz w:val="24"/>
      <w:szCs w:val="28"/>
    </w:rPr>
  </w:style>
  <w:style w:type="character" w:customStyle="1" w:styleId="Heading3Char">
    <w:name w:val="Heading 3 Char"/>
    <w:basedOn w:val="DefaultParagraphFont"/>
    <w:link w:val="Heading3"/>
    <w:uiPriority w:val="99"/>
    <w:rPr>
      <w:rFonts w:cs="Arial"/>
      <w:bCs/>
      <w:sz w:val="24"/>
      <w:szCs w:val="26"/>
      <w:u w:val="single"/>
    </w:rPr>
  </w:style>
  <w:style w:type="character" w:customStyle="1" w:styleId="Heading4Char">
    <w:name w:val="Heading 4 Char"/>
    <w:basedOn w:val="DefaultParagraphFont"/>
    <w:link w:val="Heading4"/>
    <w:uiPriority w:val="99"/>
    <w:rPr>
      <w:i/>
      <w:color w:val="000000"/>
      <w:sz w:val="24"/>
      <w:szCs w:val="24"/>
    </w:rPr>
  </w:style>
  <w:style w:type="character" w:customStyle="1" w:styleId="Heading5Char">
    <w:name w:val="Heading 5 Char"/>
    <w:basedOn w:val="DefaultParagraphFont"/>
    <w:link w:val="Heading5"/>
    <w:uiPriority w:val="99"/>
    <w:rPr>
      <w:bCs/>
      <w:iCs/>
      <w:sz w:val="24"/>
      <w:szCs w:val="24"/>
    </w:rPr>
  </w:style>
  <w:style w:type="character" w:customStyle="1" w:styleId="Heading6Char">
    <w:name w:val="Heading 6 Char"/>
    <w:basedOn w:val="DefaultParagraphFont"/>
    <w:link w:val="Heading6"/>
    <w:uiPriority w:val="99"/>
    <w:locked/>
    <w:rPr>
      <w:b/>
      <w:bCs/>
      <w:sz w:val="22"/>
      <w:szCs w:val="22"/>
    </w:rPr>
  </w:style>
  <w:style w:type="character" w:customStyle="1" w:styleId="Heading7Char">
    <w:name w:val="Heading 7 Char"/>
    <w:basedOn w:val="DefaultParagraphFont"/>
    <w:link w:val="Heading7"/>
    <w:uiPriority w:val="99"/>
    <w:locked/>
    <w:rPr>
      <w:rFonts w:ascii="Arial" w:hAnsi="Arial"/>
      <w:b/>
      <w:sz w:val="32"/>
      <w:szCs w:val="24"/>
    </w:rPr>
  </w:style>
  <w:style w:type="character" w:customStyle="1" w:styleId="Heading8Char">
    <w:name w:val="Heading 8 Char"/>
    <w:basedOn w:val="DefaultParagraphFont"/>
    <w:link w:val="Heading8"/>
    <w:uiPriority w:val="99"/>
    <w:locked/>
    <w:rPr>
      <w:b/>
      <w:iCs/>
      <w:sz w:val="28"/>
      <w:szCs w:val="24"/>
    </w:rPr>
  </w:style>
  <w:style w:type="character" w:customStyle="1" w:styleId="Heading9Char">
    <w:name w:val="Heading 9 Char"/>
    <w:basedOn w:val="DefaultParagraphFont"/>
    <w:link w:val="Heading9"/>
    <w:uiPriority w:val="99"/>
    <w:locked/>
    <w:rPr>
      <w:rFonts w:ascii="Arial" w:hAnsi="Arial" w:cs="Arial"/>
      <w:sz w:val="22"/>
      <w:szCs w:val="22"/>
    </w:rPr>
  </w:style>
  <w:style w:type="paragraph" w:styleId="Title">
    <w:name w:val="Title"/>
    <w:basedOn w:val="PlainText"/>
    <w:link w:val="TitleChar"/>
    <w:uiPriority w:val="99"/>
    <w:pPr>
      <w:keepNext/>
      <w:spacing w:before="240"/>
      <w:jc w:val="center"/>
    </w:pPr>
    <w:rPr>
      <w:rFonts w:ascii="Arial" w:hAnsi="Arial"/>
      <w:b/>
      <w:sz w:val="56"/>
    </w:rPr>
  </w:style>
  <w:style w:type="paragraph" w:styleId="PlainText">
    <w:name w:val="Plain Text"/>
    <w:basedOn w:val="Normal"/>
    <w:rPr>
      <w:rFonts w:ascii="Courier New" w:hAnsi="Courier New" w:cs="Courier New"/>
      <w:sz w:val="20"/>
      <w:szCs w:val="20"/>
    </w:rPr>
  </w:style>
  <w:style w:type="character" w:customStyle="1" w:styleId="TitleChar">
    <w:name w:val="Title Char"/>
    <w:basedOn w:val="DefaultParagraphFont"/>
    <w:link w:val="Title"/>
    <w:uiPriority w:val="99"/>
    <w:locked/>
    <w:rPr>
      <w:rFonts w:ascii="Arial" w:hAnsi="Arial" w:cs="Courier New"/>
      <w:b/>
      <w:sz w:val="56"/>
    </w:rPr>
  </w:style>
  <w:style w:type="table" w:styleId="TableGrid">
    <w:name w:val="Table Grid"/>
    <w:basedOn w:val="TableNormal"/>
    <w:uiPriority w:val="99"/>
    <w:pPr>
      <w:tabs>
        <w:tab w:val="left" w:pos="1440"/>
        <w:tab w:val="left" w:pos="4140"/>
        <w:tab w:val="left" w:pos="792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lear" w:pos="1440"/>
        <w:tab w:val="clear" w:pos="4140"/>
        <w:tab w:val="clear" w:pos="7920"/>
        <w:tab w:val="center" w:pos="4320"/>
        <w:tab w:val="right" w:pos="8640"/>
      </w:tabs>
    </w:pPr>
  </w:style>
  <w:style w:type="character" w:customStyle="1" w:styleId="HeaderChar">
    <w:name w:val="Header Char"/>
    <w:basedOn w:val="DefaultParagraphFont"/>
    <w:link w:val="Header"/>
    <w:uiPriority w:val="99"/>
    <w:rPr>
      <w:rFonts w:ascii="Arial" w:hAnsi="Arial"/>
      <w:sz w:val="24"/>
      <w:szCs w:val="22"/>
    </w:rPr>
  </w:style>
  <w:style w:type="paragraph" w:styleId="Footer">
    <w:name w:val="footer"/>
    <w:basedOn w:val="Normal"/>
    <w:link w:val="FooterChar"/>
    <w:uiPriority w:val="99"/>
    <w:pPr>
      <w:tabs>
        <w:tab w:val="clear" w:pos="1440"/>
        <w:tab w:val="clear" w:pos="4140"/>
        <w:tab w:val="clear" w:pos="7920"/>
        <w:tab w:val="center" w:pos="4320"/>
        <w:tab w:val="right" w:pos="8640"/>
      </w:tabs>
    </w:pPr>
  </w:style>
  <w:style w:type="character" w:customStyle="1" w:styleId="FooterChar">
    <w:name w:val="Footer Char"/>
    <w:basedOn w:val="DefaultParagraphFont"/>
    <w:link w:val="Footer"/>
    <w:uiPriority w:val="99"/>
    <w:rPr>
      <w:rFonts w:ascii="Arial" w:hAnsi="Arial"/>
      <w:sz w:val="24"/>
      <w:szCs w:val="22"/>
    </w:rPr>
  </w:style>
  <w:style w:type="character" w:styleId="PageNumber">
    <w:name w:val="page number"/>
    <w:basedOn w:val="DefaultParagraphFont"/>
    <w:uiPriority w:val="99"/>
  </w:style>
  <w:style w:type="paragraph" w:styleId="TOC1">
    <w:name w:val="toc 1"/>
    <w:basedOn w:val="TOCNoHeadings"/>
    <w:next w:val="Normal"/>
    <w:autoRedefine/>
    <w:uiPriority w:val="39"/>
    <w:pPr>
      <w:tabs>
        <w:tab w:val="clear" w:pos="9000"/>
        <w:tab w:val="left" w:pos="1080"/>
        <w:tab w:val="right" w:leader="dot" w:pos="9360"/>
      </w:tabs>
      <w:spacing w:before="120"/>
      <w:ind w:left="1080" w:hanging="1080"/>
    </w:pPr>
    <w:rPr>
      <w:rFonts w:eastAsiaTheme="minorEastAsia" w:cstheme="minorBidi"/>
      <w:caps/>
      <w:noProof/>
      <w:sz w:val="26"/>
      <w:szCs w:val="24"/>
    </w:rPr>
  </w:style>
  <w:style w:type="paragraph" w:customStyle="1" w:styleId="TOCNoHeadings">
    <w:name w:val="TOC No Headings"/>
    <w:basedOn w:val="Normal"/>
    <w:link w:val="TOCNoHeadingsChar"/>
    <w:qFormat/>
    <w:pPr>
      <w:tabs>
        <w:tab w:val="clear" w:pos="1440"/>
        <w:tab w:val="clear" w:pos="4140"/>
        <w:tab w:val="clear" w:pos="7920"/>
        <w:tab w:val="right" w:leader="dot" w:pos="9000"/>
      </w:tabs>
      <w:spacing w:after="0"/>
      <w:ind w:left="720" w:hanging="720"/>
    </w:pPr>
    <w:rPr>
      <w:rFonts w:ascii="Times New Roman" w:hAnsi="Times New Roman"/>
    </w:rPr>
  </w:style>
  <w:style w:type="character" w:customStyle="1" w:styleId="TOCNoHeadingsChar">
    <w:name w:val="TOC No Headings Char"/>
    <w:basedOn w:val="TOC2Char"/>
    <w:link w:val="TOCNoHeadings"/>
    <w:rPr>
      <w:noProof/>
      <w:sz w:val="24"/>
      <w:szCs w:val="22"/>
    </w:rPr>
  </w:style>
  <w:style w:type="character" w:customStyle="1" w:styleId="TOC2Char">
    <w:name w:val="TOC 2 Char"/>
    <w:basedOn w:val="DefaultParagraphFont"/>
    <w:link w:val="TOC2"/>
    <w:uiPriority w:val="39"/>
    <w:rPr>
      <w:noProof/>
      <w:sz w:val="24"/>
      <w:szCs w:val="24"/>
    </w:rPr>
  </w:style>
  <w:style w:type="paragraph" w:styleId="TOC2">
    <w:name w:val="toc 2"/>
    <w:basedOn w:val="TOCNoHeadings"/>
    <w:next w:val="Normal"/>
    <w:link w:val="TOC2Char"/>
    <w:autoRedefine/>
    <w:uiPriority w:val="39"/>
    <w:pPr>
      <w:tabs>
        <w:tab w:val="clear" w:pos="9000"/>
        <w:tab w:val="left" w:pos="1080"/>
        <w:tab w:val="right" w:leader="hyphen" w:pos="9360"/>
      </w:tabs>
      <w:ind w:left="1080" w:hanging="1080"/>
    </w:pPr>
    <w:rPr>
      <w:noProof/>
      <w:szCs w:val="24"/>
    </w:rPr>
  </w:style>
  <w:style w:type="paragraph" w:styleId="TOC3">
    <w:name w:val="toc 3"/>
    <w:basedOn w:val="TOCNoHeadings"/>
    <w:next w:val="Normal"/>
    <w:autoRedefine/>
    <w:uiPriority w:val="39"/>
    <w:pPr>
      <w:tabs>
        <w:tab w:val="clear" w:pos="9000"/>
        <w:tab w:val="left" w:pos="1080"/>
        <w:tab w:val="right" w:leader="dot" w:pos="9360"/>
      </w:tabs>
      <w:ind w:left="1080" w:hanging="1080"/>
    </w:pPr>
  </w:style>
  <w:style w:type="paragraph" w:styleId="TOC4">
    <w:name w:val="toc 4"/>
    <w:basedOn w:val="TOCNoHeadings"/>
    <w:next w:val="Normal"/>
    <w:autoRedefine/>
    <w:uiPriority w:val="39"/>
    <w:pPr>
      <w:tabs>
        <w:tab w:val="clear" w:pos="9000"/>
        <w:tab w:val="left" w:pos="1080"/>
        <w:tab w:val="right" w:leader="dot" w:pos="9360"/>
      </w:tabs>
      <w:ind w:left="1080" w:hanging="1080"/>
    </w:pPr>
    <w:rPr>
      <w:szCs w:val="18"/>
    </w:rPr>
  </w:style>
  <w:style w:type="character" w:styleId="Hyperlink">
    <w:name w:val="Hyperlink"/>
    <w:basedOn w:val="DefaultParagraphFont"/>
    <w:uiPriority w:val="99"/>
    <w:rPr>
      <w:color w:val="auto"/>
      <w:u w:val="single"/>
    </w:rPr>
  </w:style>
  <w:style w:type="paragraph" w:styleId="TableofFigures">
    <w:name w:val="table of figures"/>
    <w:basedOn w:val="Normal"/>
    <w:next w:val="Normal"/>
    <w:link w:val="TableofFiguresChar"/>
    <w:uiPriority w:val="99"/>
    <w:pPr>
      <w:keepNext/>
      <w:tabs>
        <w:tab w:val="clear" w:pos="1440"/>
        <w:tab w:val="clear" w:pos="4140"/>
        <w:tab w:val="clear" w:pos="7920"/>
      </w:tabs>
      <w:spacing w:after="0"/>
      <w:ind w:left="475" w:hanging="475"/>
    </w:pPr>
    <w:rPr>
      <w:rFonts w:ascii="Times New Roman" w:hAnsi="Times New Roman"/>
      <w:szCs w:val="20"/>
    </w:rPr>
  </w:style>
  <w:style w:type="character" w:customStyle="1" w:styleId="TableofFiguresChar">
    <w:name w:val="Table of Figures Char"/>
    <w:basedOn w:val="DefaultParagraphFont"/>
    <w:link w:val="TableofFigures"/>
    <w:uiPriority w:val="99"/>
    <w:rPr>
      <w:sz w:val="24"/>
    </w:rPr>
  </w:style>
  <w:style w:type="character" w:styleId="LineNumber">
    <w:name w:val="line number"/>
    <w:basedOn w:val="DefaultParagraphFont"/>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rFonts w:ascii="Arial" w:hAnsi="Arial"/>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Subject">
    <w:name w:val="annotation subject"/>
    <w:basedOn w:val="CommentText"/>
    <w:next w:val="CommentText"/>
    <w:semiHidden/>
    <w:rPr>
      <w:b/>
      <w:bCs/>
    </w:rPr>
  </w:style>
  <w:style w:type="paragraph" w:styleId="NormalWeb">
    <w:name w:val="Normal (Web)"/>
    <w:basedOn w:val="Normal"/>
    <w:link w:val="NormalWebChar"/>
    <w:uiPriority w:val="99"/>
    <w:pPr>
      <w:tabs>
        <w:tab w:val="clear" w:pos="1440"/>
        <w:tab w:val="clear" w:pos="4140"/>
        <w:tab w:val="clear" w:pos="7920"/>
      </w:tabs>
      <w:spacing w:before="100" w:beforeAutospacing="1" w:after="100" w:afterAutospacing="1"/>
    </w:pPr>
    <w:rPr>
      <w:rFonts w:ascii="Times New Roman" w:hAnsi="Times New Roman"/>
      <w:szCs w:val="24"/>
    </w:rPr>
  </w:style>
  <w:style w:type="character" w:customStyle="1" w:styleId="NormalWebChar">
    <w:name w:val="Normal (Web) Char"/>
    <w:basedOn w:val="DefaultParagraphFont"/>
    <w:link w:val="NormalWeb"/>
    <w:uiPriority w:val="99"/>
    <w:rPr>
      <w:sz w:val="24"/>
      <w:szCs w:val="24"/>
    </w:rPr>
  </w:style>
  <w:style w:type="paragraph" w:styleId="TOC5">
    <w:name w:val="toc 5"/>
    <w:basedOn w:val="Normal"/>
    <w:next w:val="Normal"/>
    <w:autoRedefine/>
    <w:uiPriority w:val="39"/>
    <w:pPr>
      <w:tabs>
        <w:tab w:val="clear" w:pos="1440"/>
        <w:tab w:val="clear" w:pos="4140"/>
        <w:tab w:val="clear" w:pos="7920"/>
      </w:tabs>
      <w:spacing w:after="0"/>
      <w:ind w:left="960"/>
    </w:pPr>
    <w:rPr>
      <w:rFonts w:ascii="Times New Roman" w:hAnsi="Times New Roman"/>
      <w:sz w:val="18"/>
      <w:szCs w:val="18"/>
    </w:rPr>
  </w:style>
  <w:style w:type="paragraph" w:styleId="ListBullet2">
    <w:name w:val="List Bullet 2"/>
    <w:basedOn w:val="Normal"/>
    <w:autoRedefine/>
    <w:pPr>
      <w:tabs>
        <w:tab w:val="clear" w:pos="1440"/>
        <w:tab w:val="clear" w:pos="4140"/>
        <w:tab w:val="clear" w:pos="7920"/>
        <w:tab w:val="num" w:pos="1080"/>
      </w:tabs>
      <w:spacing w:after="0"/>
      <w:ind w:left="1080" w:hanging="720"/>
    </w:pPr>
    <w:rPr>
      <w:rFonts w:ascii="Times New Roman" w:hAnsi="Times New Roman"/>
      <w:szCs w:val="20"/>
    </w:rPr>
  </w:style>
  <w:style w:type="paragraph" w:styleId="BlockText">
    <w:name w:val="Block Text"/>
    <w:basedOn w:val="Normal"/>
    <w:uiPriority w:val="99"/>
    <w:pPr>
      <w:tabs>
        <w:tab w:val="clear" w:pos="1440"/>
        <w:tab w:val="clear" w:pos="4140"/>
        <w:tab w:val="clear" w:pos="7920"/>
      </w:tabs>
      <w:spacing w:before="240" w:after="0"/>
    </w:pPr>
    <w:rPr>
      <w:rFonts w:ascii="Times New Roman" w:hAnsi="Times New Roman"/>
      <w:kern w:val="24"/>
      <w:szCs w:val="20"/>
    </w:rPr>
  </w:style>
  <w:style w:type="paragraph" w:styleId="TOC6">
    <w:name w:val="toc 6"/>
    <w:basedOn w:val="Normal"/>
    <w:next w:val="Normal"/>
    <w:autoRedefine/>
    <w:uiPriority w:val="39"/>
    <w:pPr>
      <w:tabs>
        <w:tab w:val="clear" w:pos="1440"/>
        <w:tab w:val="clear" w:pos="4140"/>
        <w:tab w:val="clear" w:pos="7920"/>
      </w:tabs>
      <w:spacing w:after="0"/>
      <w:ind w:left="1200"/>
    </w:pPr>
    <w:rPr>
      <w:rFonts w:ascii="Times New Roman" w:hAnsi="Times New Roman"/>
      <w:sz w:val="18"/>
      <w:szCs w:val="18"/>
    </w:rPr>
  </w:style>
  <w:style w:type="paragraph" w:styleId="TOC7">
    <w:name w:val="toc 7"/>
    <w:basedOn w:val="Normal"/>
    <w:next w:val="Normal"/>
    <w:autoRedefine/>
    <w:uiPriority w:val="39"/>
    <w:pPr>
      <w:tabs>
        <w:tab w:val="clear" w:pos="1440"/>
        <w:tab w:val="clear" w:pos="4140"/>
        <w:tab w:val="clear" w:pos="7920"/>
      </w:tabs>
      <w:spacing w:after="0"/>
      <w:ind w:left="1440"/>
    </w:pPr>
    <w:rPr>
      <w:rFonts w:ascii="Times New Roman" w:hAnsi="Times New Roman"/>
      <w:sz w:val="18"/>
      <w:szCs w:val="18"/>
    </w:rPr>
  </w:style>
  <w:style w:type="paragraph" w:styleId="TOC8">
    <w:name w:val="toc 8"/>
    <w:basedOn w:val="Normal"/>
    <w:next w:val="Normal"/>
    <w:autoRedefine/>
    <w:uiPriority w:val="39"/>
    <w:pPr>
      <w:tabs>
        <w:tab w:val="clear" w:pos="1440"/>
        <w:tab w:val="clear" w:pos="4140"/>
        <w:tab w:val="clear" w:pos="7920"/>
      </w:tabs>
      <w:spacing w:after="0"/>
      <w:ind w:left="1680"/>
    </w:pPr>
    <w:rPr>
      <w:rFonts w:ascii="Times New Roman" w:hAnsi="Times New Roman"/>
      <w:sz w:val="18"/>
      <w:szCs w:val="18"/>
    </w:rPr>
  </w:style>
  <w:style w:type="paragraph" w:styleId="TOC9">
    <w:name w:val="toc 9"/>
    <w:basedOn w:val="Normal"/>
    <w:next w:val="Normal"/>
    <w:autoRedefine/>
    <w:uiPriority w:val="39"/>
    <w:pPr>
      <w:tabs>
        <w:tab w:val="clear" w:pos="1440"/>
        <w:tab w:val="clear" w:pos="4140"/>
        <w:tab w:val="clear" w:pos="7920"/>
      </w:tabs>
      <w:spacing w:after="0"/>
      <w:ind w:left="1920"/>
    </w:pPr>
    <w:rPr>
      <w:rFonts w:ascii="Times New Roman" w:hAnsi="Times New Roman"/>
      <w:sz w:val="18"/>
      <w:szCs w:val="18"/>
    </w:rPr>
  </w:style>
  <w:style w:type="paragraph" w:styleId="Revision">
    <w:name w:val="Revision"/>
    <w:hidden/>
    <w:rPr>
      <w:rFonts w:ascii="Arial" w:hAnsi="Arial"/>
      <w:sz w:val="24"/>
      <w:szCs w:val="22"/>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rPr>
      <w:rFonts w:ascii="Arial" w:hAnsi="Arial"/>
      <w:sz w:val="24"/>
      <w:szCs w:val="22"/>
    </w:rPr>
  </w:style>
  <w:style w:type="paragraph" w:customStyle="1" w:styleId="ESSPBodyText">
    <w:name w:val="ESSP Body Text"/>
    <w:basedOn w:val="BodyText"/>
    <w:link w:val="ESSPBodyTextChar"/>
    <w:qFormat/>
  </w:style>
  <w:style w:type="character" w:customStyle="1" w:styleId="ESSPBodyTextChar">
    <w:name w:val="ESSP Body Text Char"/>
    <w:basedOn w:val="DefaultParagraphFont"/>
    <w:link w:val="ESSPBodyText"/>
    <w:rPr>
      <w:rFonts w:asciiTheme="minorHAnsi" w:hAnsiTheme="minorHAnsi" w:cstheme="minorHAnsi"/>
      <w:sz w:val="24"/>
      <w:szCs w:val="22"/>
    </w:rPr>
  </w:style>
  <w:style w:type="paragraph" w:customStyle="1" w:styleId="ESSPPullQuote">
    <w:name w:val="ESSP Pull Quote"/>
    <w:basedOn w:val="ESSPBodyText"/>
    <w:link w:val="ESSPPullQuoteChar"/>
    <w:qFormat/>
    <w:pPr>
      <w:ind w:left="360" w:right="360"/>
    </w:pPr>
    <w:rPr>
      <w:i/>
    </w:rPr>
  </w:style>
  <w:style w:type="character" w:customStyle="1" w:styleId="ESSPPullQuoteChar">
    <w:name w:val="ESSP Pull Quote Char"/>
    <w:basedOn w:val="ESSPBodyTextChar"/>
    <w:link w:val="ESSPPullQuote"/>
    <w:rPr>
      <w:rFonts w:asciiTheme="minorHAnsi" w:hAnsiTheme="minorHAnsi" w:cstheme="minorHAnsi"/>
      <w:i/>
      <w:sz w:val="24"/>
      <w:szCs w:val="24"/>
    </w:rPr>
  </w:style>
  <w:style w:type="character" w:styleId="FootnoteReference">
    <w:name w:val="footnote reference"/>
    <w:basedOn w:val="DefaultParagraphFont"/>
    <w:rPr>
      <w:vertAlign w:val="superscript"/>
    </w:rPr>
  </w:style>
  <w:style w:type="paragraph" w:styleId="TOCHeading">
    <w:name w:val="TOC Heading"/>
    <w:basedOn w:val="Heading1"/>
    <w:next w:val="Normal"/>
    <w:uiPriority w:val="39"/>
    <w:unhideWhenUsed/>
    <w:qFormat/>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rPr>
  </w:style>
  <w:style w:type="paragraph" w:styleId="NoSpacing">
    <w:name w:val="No Spacing"/>
    <w:qFormat/>
    <w:pPr>
      <w:tabs>
        <w:tab w:val="left" w:pos="1440"/>
        <w:tab w:val="left" w:pos="4140"/>
        <w:tab w:val="left" w:pos="7920"/>
      </w:tabs>
    </w:pPr>
    <w:rPr>
      <w:rFonts w:ascii="Arial" w:hAnsi="Arial"/>
      <w:sz w:val="24"/>
      <w:szCs w:val="22"/>
    </w:rPr>
  </w:style>
  <w:style w:type="paragraph" w:customStyle="1" w:styleId="ESSPNumberedList">
    <w:name w:val="ESSP Numbered List"/>
    <w:basedOn w:val="ESSPBodyText"/>
    <w:link w:val="ESSPNumberedListChar"/>
    <w:qFormat/>
    <w:pPr>
      <w:numPr>
        <w:numId w:val="3"/>
      </w:numPr>
    </w:pPr>
  </w:style>
  <w:style w:type="character" w:customStyle="1" w:styleId="ESSPNumberedListChar">
    <w:name w:val="ESSP Numbered List Char"/>
    <w:basedOn w:val="ESSPBodyTextChar"/>
    <w:link w:val="ESSPNumberedList"/>
    <w:rPr>
      <w:rFonts w:asciiTheme="minorHAnsi" w:hAnsiTheme="minorHAnsi" w:cstheme="minorHAnsi"/>
      <w:sz w:val="24"/>
      <w:szCs w:val="22"/>
    </w:rPr>
  </w:style>
  <w:style w:type="paragraph" w:styleId="Subtitle">
    <w:name w:val="Subtitle"/>
    <w:basedOn w:val="Normal"/>
    <w:link w:val="SubtitleChar"/>
    <w:uiPriority w:val="99"/>
    <w:pPr>
      <w:widowControl w:val="0"/>
      <w:tabs>
        <w:tab w:val="clear" w:pos="1440"/>
        <w:tab w:val="clear" w:pos="4140"/>
        <w:tab w:val="clear" w:pos="7920"/>
      </w:tabs>
      <w:spacing w:after="200"/>
      <w:jc w:val="center"/>
    </w:pPr>
    <w:rPr>
      <w:b/>
      <w:sz w:val="28"/>
      <w:szCs w:val="20"/>
    </w:rPr>
  </w:style>
  <w:style w:type="character" w:customStyle="1" w:styleId="SubtitleChar">
    <w:name w:val="Subtitle Char"/>
    <w:basedOn w:val="DefaultParagraphFont"/>
    <w:link w:val="Subtitle"/>
    <w:uiPriority w:val="99"/>
    <w:rPr>
      <w:rFonts w:ascii="Arial" w:hAnsi="Arial"/>
      <w:b/>
      <w:sz w:val="28"/>
    </w:rPr>
  </w:style>
  <w:style w:type="paragraph" w:styleId="NormalIndent">
    <w:name w:val="Normal Indent"/>
    <w:basedOn w:val="Normal"/>
    <w:uiPriority w:val="99"/>
    <w:pPr>
      <w:widowControl w:val="0"/>
      <w:tabs>
        <w:tab w:val="clear" w:pos="1440"/>
        <w:tab w:val="clear" w:pos="4140"/>
        <w:tab w:val="clear" w:pos="7920"/>
      </w:tabs>
      <w:spacing w:after="200"/>
      <w:ind w:left="720"/>
    </w:pPr>
    <w:rPr>
      <w:rFonts w:ascii="Palatino" w:hAnsi="Palatino"/>
      <w:szCs w:val="20"/>
    </w:rPr>
  </w:style>
  <w:style w:type="paragraph" w:styleId="Index3">
    <w:name w:val="index 3"/>
    <w:basedOn w:val="Normal"/>
    <w:next w:val="Normal"/>
    <w:autoRedefine/>
    <w:uiPriority w:val="99"/>
    <w:pPr>
      <w:tabs>
        <w:tab w:val="clear" w:pos="1440"/>
        <w:tab w:val="clear" w:pos="4140"/>
        <w:tab w:val="clear" w:pos="7920"/>
        <w:tab w:val="right" w:leader="dot" w:pos="4320"/>
      </w:tabs>
      <w:spacing w:after="0"/>
      <w:ind w:left="660" w:hanging="220"/>
    </w:pPr>
    <w:rPr>
      <w:sz w:val="22"/>
      <w:szCs w:val="20"/>
    </w:rPr>
  </w:style>
  <w:style w:type="paragraph" w:styleId="Index7">
    <w:name w:val="index 7"/>
    <w:basedOn w:val="Normal"/>
    <w:next w:val="Normal"/>
    <w:autoRedefine/>
    <w:uiPriority w:val="99"/>
    <w:pPr>
      <w:tabs>
        <w:tab w:val="clear" w:pos="1440"/>
        <w:tab w:val="clear" w:pos="4140"/>
        <w:tab w:val="clear" w:pos="7920"/>
        <w:tab w:val="right" w:leader="dot" w:pos="4320"/>
      </w:tabs>
      <w:spacing w:after="0"/>
      <w:ind w:left="1540" w:hanging="220"/>
    </w:pPr>
    <w:rPr>
      <w:sz w:val="22"/>
      <w:szCs w:val="20"/>
    </w:rPr>
  </w:style>
  <w:style w:type="table" w:styleId="TableGrid8">
    <w:name w:val="Table Grid 8"/>
    <w:aliases w:val="ESSP Table"/>
    <w:basedOn w:val="TableNormal"/>
    <w:pPr>
      <w:tabs>
        <w:tab w:val="left" w:pos="1440"/>
        <w:tab w:val="left" w:pos="4140"/>
        <w:tab w:val="left" w:pos="7920"/>
      </w:tabs>
      <w:spacing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auto"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urierBytes">
    <w:name w:val="Courier Bytes"/>
    <w:basedOn w:val="Normal"/>
    <w:link w:val="CourierBytesChar"/>
    <w:qFormat/>
    <w:pPr>
      <w:spacing w:after="0"/>
    </w:pPr>
    <w:rPr>
      <w:rFonts w:ascii="Courier" w:hAnsi="Courier"/>
    </w:rPr>
  </w:style>
  <w:style w:type="character" w:customStyle="1" w:styleId="CourierBytesChar">
    <w:name w:val="Courier Bytes Char"/>
    <w:basedOn w:val="DefaultParagraphFont"/>
    <w:link w:val="CourierBytes"/>
    <w:rPr>
      <w:rFonts w:ascii="Courier" w:hAnsi="Courier"/>
      <w:sz w:val="24"/>
      <w:szCs w:val="22"/>
    </w:rPr>
  </w:style>
  <w:style w:type="paragraph" w:customStyle="1" w:styleId="ESSPReferences">
    <w:name w:val="ESSP References"/>
    <w:basedOn w:val="ESSPBodyText"/>
    <w:link w:val="ESSPReferencesChar"/>
    <w:qFormat/>
    <w:pPr>
      <w:ind w:left="720" w:hanging="720"/>
    </w:pPr>
  </w:style>
  <w:style w:type="character" w:customStyle="1" w:styleId="ESSPReferencesChar">
    <w:name w:val="ESSP References Char"/>
    <w:basedOn w:val="DefaultParagraphFont"/>
    <w:link w:val="ESSPReferences"/>
    <w:rPr>
      <w:rFonts w:asciiTheme="minorHAnsi" w:hAnsiTheme="minorHAnsi"/>
      <w:sz w:val="24"/>
      <w:szCs w:val="24"/>
    </w:rPr>
  </w:style>
  <w:style w:type="paragraph" w:customStyle="1" w:styleId="ESSPTableText">
    <w:name w:val="ESSP Table Text"/>
    <w:basedOn w:val="ESSPBodyText"/>
    <w:link w:val="ESSPTableTextChar"/>
    <w:qFormat/>
    <w:pPr>
      <w:keepNext/>
      <w:spacing w:after="0"/>
      <w:jc w:val="center"/>
    </w:pPr>
    <w:rPr>
      <w:rFonts w:ascii="Helvetica" w:hAnsi="Helvetica" w:cs="Arial"/>
    </w:rPr>
  </w:style>
  <w:style w:type="character" w:customStyle="1" w:styleId="ESSPTableTextChar">
    <w:name w:val="ESSP Table Text Char"/>
    <w:basedOn w:val="ESSPBodyTextChar"/>
    <w:link w:val="ESSPTableText"/>
    <w:rPr>
      <w:rFonts w:ascii="Helvetica" w:hAnsi="Helvetica" w:cs="Arial"/>
      <w:sz w:val="24"/>
      <w:szCs w:val="24"/>
    </w:rPr>
  </w:style>
  <w:style w:type="paragraph" w:customStyle="1" w:styleId="ESSPFigure">
    <w:name w:val="ESSP Figure"/>
    <w:basedOn w:val="Normal"/>
    <w:link w:val="ESSPFigureChar"/>
    <w:qFormat/>
    <w:pPr>
      <w:keepNext/>
      <w:widowControl w:val="0"/>
      <w:tabs>
        <w:tab w:val="clear" w:pos="1440"/>
        <w:tab w:val="clear" w:pos="4140"/>
        <w:tab w:val="clear" w:pos="7920"/>
      </w:tabs>
      <w:spacing w:after="0"/>
      <w:jc w:val="center"/>
    </w:pPr>
    <w:rPr>
      <w:noProof/>
      <w:szCs w:val="20"/>
    </w:rPr>
  </w:style>
  <w:style w:type="character" w:customStyle="1" w:styleId="ESSPFigureChar">
    <w:name w:val="ESSP Figure Char"/>
    <w:basedOn w:val="DefaultParagraphFont"/>
    <w:link w:val="ESSPFigure"/>
    <w:rPr>
      <w:rFonts w:ascii="Arial" w:hAnsi="Arial"/>
      <w:noProof/>
      <w:sz w:val="24"/>
    </w:rPr>
  </w:style>
  <w:style w:type="paragraph" w:customStyle="1" w:styleId="ESSPFigureCaption">
    <w:name w:val="ESSP Figure Caption"/>
    <w:basedOn w:val="Normal"/>
    <w:link w:val="ESSPFigureCaptionChar"/>
    <w:qFormat/>
    <w:pPr>
      <w:spacing w:before="120"/>
      <w:jc w:val="center"/>
    </w:pPr>
    <w:rPr>
      <w:b/>
      <w:bCs/>
      <w:sz w:val="22"/>
      <w:szCs w:val="20"/>
    </w:rPr>
  </w:style>
  <w:style w:type="character" w:customStyle="1" w:styleId="ESSPFigureCaptionChar">
    <w:name w:val="ESSP Figure Caption Char"/>
    <w:basedOn w:val="DefaultParagraphFont"/>
    <w:link w:val="ESSPFigureCaption"/>
    <w:rPr>
      <w:rFonts w:ascii="Arial" w:hAnsi="Arial"/>
      <w:b/>
      <w:bCs/>
      <w:sz w:val="22"/>
    </w:rPr>
  </w:style>
  <w:style w:type="paragraph" w:customStyle="1" w:styleId="ESSPTableCaption">
    <w:name w:val="ESSP Table Caption"/>
    <w:basedOn w:val="Normal"/>
    <w:link w:val="ESSPTableCaptionChar"/>
    <w:qFormat/>
    <w:pPr>
      <w:keepNext/>
      <w:spacing w:before="120"/>
      <w:jc w:val="center"/>
    </w:pPr>
    <w:rPr>
      <w:rFonts w:ascii="Helvetica" w:hAnsi="Helvetica"/>
      <w:b/>
      <w:bCs/>
      <w:sz w:val="22"/>
      <w:szCs w:val="20"/>
    </w:rPr>
  </w:style>
  <w:style w:type="character" w:customStyle="1" w:styleId="ESSPTableCaptionChar">
    <w:name w:val="ESSP Table Caption Char"/>
    <w:basedOn w:val="DefaultParagraphFont"/>
    <w:link w:val="ESSPTableCaption"/>
    <w:rPr>
      <w:rFonts w:ascii="Helvetica" w:hAnsi="Helvetica"/>
      <w:b/>
      <w:bCs/>
      <w:sz w:val="22"/>
    </w:rPr>
  </w:style>
  <w:style w:type="paragraph" w:customStyle="1" w:styleId="ESSPAcronyms">
    <w:name w:val="ESSP Acronyms"/>
    <w:basedOn w:val="ESSPTableText"/>
    <w:link w:val="ESSPAcronymsChar"/>
    <w:qFormat/>
    <w:pPr>
      <w:jc w:val="left"/>
    </w:pPr>
  </w:style>
  <w:style w:type="character" w:customStyle="1" w:styleId="ESSPAcronymsChar">
    <w:name w:val="ESSP Acronyms Char"/>
    <w:basedOn w:val="ESSPTableTextChar"/>
    <w:link w:val="ESSPAcronyms"/>
    <w:rPr>
      <w:rFonts w:ascii="Arial" w:hAnsi="Arial" w:cs="Arial"/>
      <w:sz w:val="24"/>
      <w:szCs w:val="24"/>
    </w:rPr>
  </w:style>
  <w:style w:type="paragraph" w:customStyle="1" w:styleId="Requirement">
    <w:name w:val="Requirement"/>
    <w:basedOn w:val="ESSPBodyText"/>
    <w:link w:val="RequirementChar"/>
    <w:qFormat/>
    <w:rPr>
      <w:b/>
    </w:rPr>
  </w:style>
  <w:style w:type="character" w:customStyle="1" w:styleId="RequirementChar">
    <w:name w:val="Requirement Char"/>
    <w:basedOn w:val="ESSPBodyTextChar"/>
    <w:link w:val="Requirement"/>
    <w:rPr>
      <w:rFonts w:asciiTheme="minorHAnsi" w:hAnsiTheme="minorHAnsi" w:cstheme="minorHAnsi"/>
      <w:b/>
      <w:sz w:val="24"/>
      <w:szCs w:val="24"/>
    </w:rPr>
  </w:style>
  <w:style w:type="paragraph" w:customStyle="1" w:styleId="Suggestion">
    <w:name w:val="Suggestion"/>
    <w:basedOn w:val="Requirement"/>
    <w:link w:val="SuggestionChar"/>
    <w:qFormat/>
    <w:rPr>
      <w:i/>
    </w:rPr>
  </w:style>
  <w:style w:type="character" w:customStyle="1" w:styleId="SuggestionChar">
    <w:name w:val="Suggestion Char"/>
    <w:basedOn w:val="RequirementChar"/>
    <w:link w:val="Suggestion"/>
    <w:rPr>
      <w:rFonts w:asciiTheme="minorHAnsi" w:hAnsiTheme="minorHAnsi" w:cstheme="minorHAnsi"/>
      <w:b/>
      <w:i/>
      <w:sz w:val="24"/>
      <w:szCs w:val="24"/>
    </w:rPr>
  </w:style>
  <w:style w:type="character" w:styleId="CommentReference">
    <w:name w:val="annotation reference"/>
    <w:basedOn w:val="DefaultParagraphFont"/>
    <w:uiPriority w:val="99"/>
    <w:rPr>
      <w:sz w:val="16"/>
      <w:szCs w:val="16"/>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pPr>
    <w:rPr>
      <w:color w:val="000000"/>
      <w:sz w:val="24"/>
      <w:szCs w:val="24"/>
    </w:rPr>
  </w:style>
  <w:style w:type="paragraph" w:styleId="Caption">
    <w:name w:val="caption"/>
    <w:basedOn w:val="ESSPFigureCaption"/>
    <w:next w:val="Normal"/>
    <w:uiPriority w:val="99"/>
    <w:qFormat/>
  </w:style>
  <w:style w:type="paragraph" w:customStyle="1" w:styleId="ESSPSuggestion">
    <w:name w:val="ESSP Suggestion"/>
    <w:basedOn w:val="Normal"/>
    <w:link w:val="ESSPSuggestionChar"/>
    <w:qFormat/>
    <w:pPr>
      <w:tabs>
        <w:tab w:val="clear" w:pos="1440"/>
        <w:tab w:val="clear" w:pos="4140"/>
        <w:tab w:val="clear" w:pos="7920"/>
      </w:tabs>
      <w:autoSpaceDE w:val="0"/>
      <w:autoSpaceDN w:val="0"/>
      <w:adjustRightInd w:val="0"/>
      <w:spacing w:after="240"/>
    </w:pPr>
    <w:rPr>
      <w:rFonts w:ascii="Times New Roman" w:hAnsi="Times New Roman"/>
      <w:b/>
      <w:i/>
      <w:szCs w:val="24"/>
    </w:rPr>
  </w:style>
  <w:style w:type="character" w:customStyle="1" w:styleId="ESSPSuggestionChar">
    <w:name w:val="ESSP Suggestion Char"/>
    <w:basedOn w:val="DefaultParagraphFont"/>
    <w:link w:val="ESSPSuggestion"/>
    <w:rPr>
      <w:b/>
      <w:i/>
      <w:sz w:val="24"/>
      <w:szCs w:val="24"/>
    </w:rPr>
  </w:style>
  <w:style w:type="paragraph" w:customStyle="1" w:styleId="UnnumberedHeading3">
    <w:name w:val="Unnumbered Heading 3"/>
    <w:basedOn w:val="Heading3"/>
    <w:link w:val="UnnumberedHeading3Char"/>
    <w:qFormat/>
    <w:pPr>
      <w:numPr>
        <w:ilvl w:val="0"/>
        <w:numId w:val="0"/>
      </w:numPr>
      <w:outlineLvl w:val="9"/>
    </w:pPr>
  </w:style>
  <w:style w:type="paragraph" w:customStyle="1" w:styleId="UnnumberedHeading2">
    <w:name w:val="Unnumbered Heading 2"/>
    <w:basedOn w:val="NormalWeb"/>
    <w:link w:val="UnnumberedHeading2Char"/>
    <w:qFormat/>
    <w:rPr>
      <w:b/>
    </w:rPr>
  </w:style>
  <w:style w:type="character" w:customStyle="1" w:styleId="UnnumberedHeading3Char">
    <w:name w:val="Unnumbered Heading 3 Char"/>
    <w:basedOn w:val="Heading3Char"/>
    <w:link w:val="UnnumberedHeading3"/>
    <w:rPr>
      <w:rFonts w:cs="Arial"/>
      <w:bCs/>
      <w:sz w:val="24"/>
      <w:szCs w:val="26"/>
      <w:u w:val="single"/>
    </w:rPr>
  </w:style>
  <w:style w:type="paragraph" w:customStyle="1" w:styleId="UnnumberedHeading4">
    <w:name w:val="Unnumbered Heading 4"/>
    <w:basedOn w:val="Heading4"/>
    <w:link w:val="UnnumberedHeading4Char"/>
    <w:qFormat/>
    <w:pPr>
      <w:numPr>
        <w:ilvl w:val="0"/>
        <w:numId w:val="0"/>
      </w:numPr>
      <w:outlineLvl w:val="9"/>
    </w:pPr>
  </w:style>
  <w:style w:type="character" w:customStyle="1" w:styleId="UnnumberedHeading2Char">
    <w:name w:val="Unnumbered Heading 2 Char"/>
    <w:basedOn w:val="Heading2Char"/>
    <w:link w:val="UnnumberedHeading2"/>
    <w:rPr>
      <w:b/>
      <w:bCs w:val="0"/>
      <w:iCs w:val="0"/>
      <w:sz w:val="24"/>
      <w:szCs w:val="24"/>
    </w:rPr>
  </w:style>
  <w:style w:type="character" w:customStyle="1" w:styleId="UnnumberedHeading4Char">
    <w:name w:val="Unnumbered Heading 4 Char"/>
    <w:basedOn w:val="Heading4Char"/>
    <w:link w:val="UnnumberedHeading4"/>
    <w:rPr>
      <w:i/>
      <w:color w:val="000000"/>
      <w:sz w:val="24"/>
      <w:szCs w:val="24"/>
    </w:rPr>
  </w:style>
  <w:style w:type="paragraph" w:customStyle="1" w:styleId="AppendixHeading2">
    <w:name w:val="Appendix Heading 2"/>
    <w:basedOn w:val="Normal"/>
    <w:link w:val="AppendixHeading2Char"/>
    <w:qFormat/>
    <w:pPr>
      <w:tabs>
        <w:tab w:val="clear" w:pos="1440"/>
        <w:tab w:val="clear" w:pos="4140"/>
        <w:tab w:val="clear" w:pos="7920"/>
      </w:tabs>
      <w:spacing w:before="120" w:after="240"/>
    </w:pPr>
    <w:rPr>
      <w:rFonts w:ascii="Times New Roman" w:hAnsi="Times New Roman"/>
      <w:b/>
      <w:caps/>
    </w:rPr>
  </w:style>
  <w:style w:type="character" w:customStyle="1" w:styleId="AppendixHeading2Char">
    <w:name w:val="Appendix Heading 2 Char"/>
    <w:basedOn w:val="DefaultParagraphFont"/>
    <w:link w:val="AppendixHeading2"/>
    <w:rPr>
      <w:b/>
      <w:caps/>
      <w:sz w:val="24"/>
      <w:szCs w:val="22"/>
    </w:rPr>
  </w:style>
  <w:style w:type="paragraph" w:customStyle="1" w:styleId="AppendixHeading3">
    <w:name w:val="Appendix Heading 3"/>
    <w:basedOn w:val="AppendixHeading2"/>
    <w:link w:val="AppendixHeading3Char"/>
    <w:qFormat/>
    <w:pPr>
      <w:tabs>
        <w:tab w:val="left" w:pos="1260"/>
      </w:tabs>
    </w:pPr>
    <w:rPr>
      <w:b w:val="0"/>
      <w:caps w:val="0"/>
      <w:color w:val="000000"/>
      <w:szCs w:val="24"/>
    </w:rPr>
  </w:style>
  <w:style w:type="character" w:customStyle="1" w:styleId="AppendixHeading3Char">
    <w:name w:val="Appendix Heading 3 Char"/>
    <w:basedOn w:val="AppendixHeading2Char"/>
    <w:link w:val="AppendixHeading3"/>
    <w:rPr>
      <w:b w:val="0"/>
      <w:caps w:val="0"/>
      <w:color w:val="000000"/>
      <w:sz w:val="24"/>
      <w:szCs w:val="24"/>
    </w:rPr>
  </w:style>
  <w:style w:type="paragraph" w:customStyle="1" w:styleId="AppendixOutlineLevel2">
    <w:name w:val="Appendix Outline Level 2"/>
    <w:basedOn w:val="AppendixHeading2"/>
    <w:link w:val="AppendixOutlineLevel2Char"/>
    <w:qFormat/>
    <w:pPr>
      <w:keepNext/>
      <w:numPr>
        <w:ilvl w:val="1"/>
        <w:numId w:val="8"/>
      </w:numPr>
    </w:pPr>
    <w:rPr>
      <w:w w:val="105"/>
    </w:rPr>
  </w:style>
  <w:style w:type="character" w:customStyle="1" w:styleId="AppendixOutlineLevel2Char">
    <w:name w:val="Appendix Outline Level 2 Char"/>
    <w:basedOn w:val="AppendixHeading2Char"/>
    <w:link w:val="AppendixOutlineLevel2"/>
    <w:rPr>
      <w:b/>
      <w:caps/>
      <w:w w:val="105"/>
      <w:sz w:val="24"/>
      <w:szCs w:val="22"/>
    </w:rPr>
  </w:style>
  <w:style w:type="paragraph" w:styleId="FootnoteText">
    <w:name w:val="footnote text"/>
    <w:basedOn w:val="Normal"/>
    <w:link w:val="FootnoteTextChar"/>
    <w:pPr>
      <w:spacing w:after="0"/>
    </w:pPr>
    <w:rPr>
      <w:szCs w:val="24"/>
    </w:rPr>
  </w:style>
  <w:style w:type="character" w:customStyle="1" w:styleId="FootnoteTextChar">
    <w:name w:val="Footnote Text Char"/>
    <w:basedOn w:val="DefaultParagraphFont"/>
    <w:link w:val="FootnoteText"/>
    <w:rPr>
      <w:rFonts w:ascii="Arial" w:hAnsi="Arial"/>
      <w:sz w:val="24"/>
      <w:szCs w:val="24"/>
    </w:rPr>
  </w:style>
  <w:style w:type="table" w:styleId="ColorfulGrid-Accent2">
    <w:name w:val="Colorful Grid Accent 2"/>
    <w:basedOn w:val="TableNormal"/>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4">
    <w:name w:val="Colorful Grid Accent 4"/>
    <w:basedOn w:val="TableNormal"/>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Style11pt">
    <w:name w:val="Style 11 pt"/>
    <w:basedOn w:val="DefaultParagraphFont"/>
    <w:rPr>
      <w:sz w:val="22"/>
    </w:rPr>
  </w:style>
  <w:style w:type="paragraph" w:customStyle="1" w:styleId="AppendixOutlineLevel3">
    <w:name w:val="Appendix Outline Level 3"/>
    <w:basedOn w:val="AppendixHeading3"/>
    <w:link w:val="AppendixOutlineLevel3Char"/>
    <w:qFormat/>
    <w:pPr>
      <w:numPr>
        <w:ilvl w:val="2"/>
        <w:numId w:val="8"/>
      </w:numPr>
    </w:pPr>
    <w:rPr>
      <w:b/>
    </w:rPr>
  </w:style>
  <w:style w:type="paragraph" w:customStyle="1" w:styleId="AppendixOutlineLevel4">
    <w:name w:val="Appendix Outline Level 4"/>
    <w:basedOn w:val="Heading3"/>
    <w:link w:val="AppendixOutlineLevel4Char"/>
    <w:qFormat/>
    <w:pPr>
      <w:numPr>
        <w:ilvl w:val="3"/>
        <w:numId w:val="8"/>
      </w:numPr>
    </w:pPr>
  </w:style>
  <w:style w:type="character" w:customStyle="1" w:styleId="AppendixOutlineLevel3Char">
    <w:name w:val="Appendix Outline Level 3 Char"/>
    <w:basedOn w:val="AppendixOutlineLevel2Char"/>
    <w:link w:val="AppendixOutlineLevel3"/>
    <w:rPr>
      <w:b/>
      <w:caps w:val="0"/>
      <w:color w:val="000000"/>
      <w:w w:val="105"/>
      <w:sz w:val="24"/>
      <w:szCs w:val="24"/>
    </w:rPr>
  </w:style>
  <w:style w:type="paragraph" w:customStyle="1" w:styleId="AppendixOutlineLevel5">
    <w:name w:val="Appendix Outline Level 5"/>
    <w:basedOn w:val="Heading4"/>
    <w:link w:val="AppendixOutlineLevel5Char"/>
    <w:qFormat/>
    <w:pPr>
      <w:numPr>
        <w:ilvl w:val="4"/>
        <w:numId w:val="8"/>
      </w:numPr>
    </w:pPr>
  </w:style>
  <w:style w:type="character" w:customStyle="1" w:styleId="AppendixOutlineLevel4Char">
    <w:name w:val="Appendix Outline Level 4 Char"/>
    <w:basedOn w:val="Heading3Char"/>
    <w:link w:val="AppendixOutlineLevel4"/>
    <w:rPr>
      <w:rFonts w:cs="Arial"/>
      <w:bCs/>
      <w:sz w:val="24"/>
      <w:szCs w:val="26"/>
      <w:u w:val="single"/>
    </w:rPr>
  </w:style>
  <w:style w:type="character" w:customStyle="1" w:styleId="AppendixOutlineLevel5Char">
    <w:name w:val="Appendix Outline Level 5 Char"/>
    <w:basedOn w:val="Heading4Char"/>
    <w:link w:val="AppendixOutlineLevel5"/>
    <w:rPr>
      <w:i/>
      <w:color w:val="000000"/>
      <w:sz w:val="24"/>
      <w:szCs w:val="24"/>
    </w:rPr>
  </w:style>
  <w:style w:type="table" w:styleId="ColorfulGrid-Accent3">
    <w:name w:val="Colorful Grid Accent 3"/>
    <w:basedOn w:val="TableNormal"/>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CM11">
    <w:name w:val="CM11"/>
    <w:basedOn w:val="Default"/>
    <w:next w:val="Default"/>
    <w:uiPriority w:val="99"/>
    <w:pPr>
      <w:widowControl w:val="0"/>
    </w:pPr>
    <w:rPr>
      <w:rFonts w:ascii="ESHYDJ+TimesNewRomanPSMT" w:hAnsi="ESHYDJ+TimesNewRomanPSMT"/>
      <w:color w:val="auto"/>
    </w:rPr>
  </w:style>
  <w:style w:type="paragraph" w:styleId="DocumentMap">
    <w:name w:val="Document Map"/>
    <w:basedOn w:val="Normal"/>
    <w:link w:val="DocumentMapChar"/>
    <w:uiPriority w:val="99"/>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rPr>
      <w:rFonts w:ascii="Lucida Grande" w:hAnsi="Lucida Grande" w:cs="Lucida Grande"/>
      <w:sz w:val="24"/>
      <w:szCs w:val="24"/>
    </w:rPr>
  </w:style>
  <w:style w:type="character" w:styleId="PlaceholderText">
    <w:name w:val="Placeholder Text"/>
    <w:basedOn w:val="DefaultParagraphFont"/>
    <w:rPr>
      <w:color w:val="808080"/>
    </w:rPr>
  </w:style>
  <w:style w:type="numbering" w:customStyle="1" w:styleId="CurrentList1">
    <w:name w:val="Current List1"/>
    <w:uiPriority w:val="99"/>
    <w:pPr>
      <w:numPr>
        <w:numId w:val="16"/>
      </w:numPr>
    </w:pPr>
  </w:style>
  <w:style w:type="paragraph" w:customStyle="1" w:styleId="Style1">
    <w:name w:val="Style1"/>
    <w:basedOn w:val="Heading6"/>
    <w:qFormat/>
  </w:style>
  <w:style w:type="paragraph" w:styleId="BodyText">
    <w:name w:val="Body Text"/>
    <w:basedOn w:val="Normal"/>
    <w:link w:val="BodyTextChar"/>
    <w:uiPriority w:val="1"/>
    <w:qFormat/>
    <w:pPr>
      <w:jc w:val="both"/>
    </w:pPr>
    <w:rPr>
      <w:rFonts w:asciiTheme="minorHAnsi" w:hAnsiTheme="minorHAnsi" w:cstheme="minorHAnsi"/>
    </w:rPr>
  </w:style>
  <w:style w:type="character" w:customStyle="1" w:styleId="BodyTextChar">
    <w:name w:val="Body Text Char"/>
    <w:basedOn w:val="DefaultParagraphFont"/>
    <w:link w:val="BodyText"/>
    <w:uiPriority w:val="1"/>
    <w:rPr>
      <w:rFonts w:asciiTheme="minorHAnsi" w:hAnsiTheme="minorHAnsi" w:cstheme="minorHAnsi"/>
      <w:sz w:val="24"/>
      <w:szCs w:val="22"/>
    </w:rPr>
  </w:style>
  <w:style w:type="table" w:customStyle="1" w:styleId="GridTable1Light-Accent11">
    <w:name w:val="Grid Table 1 Light - Accent 11"/>
    <w:basedOn w:val="TableNormal"/>
    <w:uiPriority w:val="46"/>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1315">
      <w:bodyDiv w:val="1"/>
      <w:marLeft w:val="0"/>
      <w:marRight w:val="0"/>
      <w:marTop w:val="0"/>
      <w:marBottom w:val="0"/>
      <w:divBdr>
        <w:top w:val="none" w:sz="0" w:space="0" w:color="auto"/>
        <w:left w:val="none" w:sz="0" w:space="0" w:color="auto"/>
        <w:bottom w:val="none" w:sz="0" w:space="0" w:color="auto"/>
        <w:right w:val="none" w:sz="0" w:space="0" w:color="auto"/>
      </w:divBdr>
    </w:div>
    <w:div w:id="92282876">
      <w:bodyDiv w:val="1"/>
      <w:marLeft w:val="0"/>
      <w:marRight w:val="0"/>
      <w:marTop w:val="0"/>
      <w:marBottom w:val="0"/>
      <w:divBdr>
        <w:top w:val="none" w:sz="0" w:space="0" w:color="auto"/>
        <w:left w:val="none" w:sz="0" w:space="0" w:color="auto"/>
        <w:bottom w:val="none" w:sz="0" w:space="0" w:color="auto"/>
        <w:right w:val="none" w:sz="0" w:space="0" w:color="auto"/>
      </w:divBdr>
    </w:div>
    <w:div w:id="134640585">
      <w:bodyDiv w:val="1"/>
      <w:marLeft w:val="0"/>
      <w:marRight w:val="0"/>
      <w:marTop w:val="0"/>
      <w:marBottom w:val="0"/>
      <w:divBdr>
        <w:top w:val="none" w:sz="0" w:space="0" w:color="auto"/>
        <w:left w:val="none" w:sz="0" w:space="0" w:color="auto"/>
        <w:bottom w:val="none" w:sz="0" w:space="0" w:color="auto"/>
        <w:right w:val="none" w:sz="0" w:space="0" w:color="auto"/>
      </w:divBdr>
    </w:div>
    <w:div w:id="142893528">
      <w:bodyDiv w:val="1"/>
      <w:marLeft w:val="0"/>
      <w:marRight w:val="0"/>
      <w:marTop w:val="0"/>
      <w:marBottom w:val="0"/>
      <w:divBdr>
        <w:top w:val="none" w:sz="0" w:space="0" w:color="auto"/>
        <w:left w:val="none" w:sz="0" w:space="0" w:color="auto"/>
        <w:bottom w:val="none" w:sz="0" w:space="0" w:color="auto"/>
        <w:right w:val="none" w:sz="0" w:space="0" w:color="auto"/>
      </w:divBdr>
    </w:div>
    <w:div w:id="145323971">
      <w:bodyDiv w:val="1"/>
      <w:marLeft w:val="0"/>
      <w:marRight w:val="0"/>
      <w:marTop w:val="0"/>
      <w:marBottom w:val="0"/>
      <w:divBdr>
        <w:top w:val="none" w:sz="0" w:space="0" w:color="auto"/>
        <w:left w:val="none" w:sz="0" w:space="0" w:color="auto"/>
        <w:bottom w:val="none" w:sz="0" w:space="0" w:color="auto"/>
        <w:right w:val="none" w:sz="0" w:space="0" w:color="auto"/>
      </w:divBdr>
    </w:div>
    <w:div w:id="220795000">
      <w:bodyDiv w:val="1"/>
      <w:marLeft w:val="0"/>
      <w:marRight w:val="0"/>
      <w:marTop w:val="0"/>
      <w:marBottom w:val="0"/>
      <w:divBdr>
        <w:top w:val="none" w:sz="0" w:space="0" w:color="auto"/>
        <w:left w:val="none" w:sz="0" w:space="0" w:color="auto"/>
        <w:bottom w:val="none" w:sz="0" w:space="0" w:color="auto"/>
        <w:right w:val="none" w:sz="0" w:space="0" w:color="auto"/>
      </w:divBdr>
    </w:div>
    <w:div w:id="390201959">
      <w:bodyDiv w:val="1"/>
      <w:marLeft w:val="0"/>
      <w:marRight w:val="0"/>
      <w:marTop w:val="0"/>
      <w:marBottom w:val="0"/>
      <w:divBdr>
        <w:top w:val="none" w:sz="0" w:space="0" w:color="auto"/>
        <w:left w:val="none" w:sz="0" w:space="0" w:color="auto"/>
        <w:bottom w:val="none" w:sz="0" w:space="0" w:color="auto"/>
        <w:right w:val="none" w:sz="0" w:space="0" w:color="auto"/>
      </w:divBdr>
    </w:div>
    <w:div w:id="454907485">
      <w:bodyDiv w:val="1"/>
      <w:marLeft w:val="0"/>
      <w:marRight w:val="0"/>
      <w:marTop w:val="0"/>
      <w:marBottom w:val="0"/>
      <w:divBdr>
        <w:top w:val="none" w:sz="0" w:space="0" w:color="auto"/>
        <w:left w:val="none" w:sz="0" w:space="0" w:color="auto"/>
        <w:bottom w:val="none" w:sz="0" w:space="0" w:color="auto"/>
        <w:right w:val="none" w:sz="0" w:space="0" w:color="auto"/>
      </w:divBdr>
      <w:divsChild>
        <w:div w:id="1689941715">
          <w:marLeft w:val="0"/>
          <w:marRight w:val="0"/>
          <w:marTop w:val="0"/>
          <w:marBottom w:val="0"/>
          <w:divBdr>
            <w:top w:val="none" w:sz="0" w:space="0" w:color="auto"/>
            <w:left w:val="none" w:sz="0" w:space="0" w:color="auto"/>
            <w:bottom w:val="none" w:sz="0" w:space="0" w:color="auto"/>
            <w:right w:val="none" w:sz="0" w:space="0" w:color="auto"/>
          </w:divBdr>
        </w:div>
        <w:div w:id="1930458386">
          <w:marLeft w:val="0"/>
          <w:marRight w:val="0"/>
          <w:marTop w:val="0"/>
          <w:marBottom w:val="0"/>
          <w:divBdr>
            <w:top w:val="none" w:sz="0" w:space="0" w:color="auto"/>
            <w:left w:val="none" w:sz="0" w:space="0" w:color="auto"/>
            <w:bottom w:val="none" w:sz="0" w:space="0" w:color="auto"/>
            <w:right w:val="none" w:sz="0" w:space="0" w:color="auto"/>
          </w:divBdr>
        </w:div>
      </w:divsChild>
    </w:div>
    <w:div w:id="477378628">
      <w:bodyDiv w:val="1"/>
      <w:marLeft w:val="0"/>
      <w:marRight w:val="0"/>
      <w:marTop w:val="0"/>
      <w:marBottom w:val="0"/>
      <w:divBdr>
        <w:top w:val="none" w:sz="0" w:space="0" w:color="auto"/>
        <w:left w:val="none" w:sz="0" w:space="0" w:color="auto"/>
        <w:bottom w:val="none" w:sz="0" w:space="0" w:color="auto"/>
        <w:right w:val="none" w:sz="0" w:space="0" w:color="auto"/>
      </w:divBdr>
    </w:div>
    <w:div w:id="491793114">
      <w:bodyDiv w:val="1"/>
      <w:marLeft w:val="0"/>
      <w:marRight w:val="0"/>
      <w:marTop w:val="0"/>
      <w:marBottom w:val="0"/>
      <w:divBdr>
        <w:top w:val="none" w:sz="0" w:space="0" w:color="auto"/>
        <w:left w:val="none" w:sz="0" w:space="0" w:color="auto"/>
        <w:bottom w:val="none" w:sz="0" w:space="0" w:color="auto"/>
        <w:right w:val="none" w:sz="0" w:space="0" w:color="auto"/>
      </w:divBdr>
    </w:div>
    <w:div w:id="495461573">
      <w:bodyDiv w:val="1"/>
      <w:marLeft w:val="0"/>
      <w:marRight w:val="0"/>
      <w:marTop w:val="0"/>
      <w:marBottom w:val="0"/>
      <w:divBdr>
        <w:top w:val="none" w:sz="0" w:space="0" w:color="auto"/>
        <w:left w:val="none" w:sz="0" w:space="0" w:color="auto"/>
        <w:bottom w:val="none" w:sz="0" w:space="0" w:color="auto"/>
        <w:right w:val="none" w:sz="0" w:space="0" w:color="auto"/>
      </w:divBdr>
    </w:div>
    <w:div w:id="516844970">
      <w:bodyDiv w:val="1"/>
      <w:marLeft w:val="0"/>
      <w:marRight w:val="0"/>
      <w:marTop w:val="0"/>
      <w:marBottom w:val="0"/>
      <w:divBdr>
        <w:top w:val="none" w:sz="0" w:space="0" w:color="auto"/>
        <w:left w:val="none" w:sz="0" w:space="0" w:color="auto"/>
        <w:bottom w:val="none" w:sz="0" w:space="0" w:color="auto"/>
        <w:right w:val="none" w:sz="0" w:space="0" w:color="auto"/>
      </w:divBdr>
    </w:div>
    <w:div w:id="534739040">
      <w:bodyDiv w:val="1"/>
      <w:marLeft w:val="0"/>
      <w:marRight w:val="0"/>
      <w:marTop w:val="0"/>
      <w:marBottom w:val="0"/>
      <w:divBdr>
        <w:top w:val="none" w:sz="0" w:space="0" w:color="auto"/>
        <w:left w:val="none" w:sz="0" w:space="0" w:color="auto"/>
        <w:bottom w:val="none" w:sz="0" w:space="0" w:color="auto"/>
        <w:right w:val="none" w:sz="0" w:space="0" w:color="auto"/>
      </w:divBdr>
    </w:div>
    <w:div w:id="564075418">
      <w:bodyDiv w:val="1"/>
      <w:marLeft w:val="0"/>
      <w:marRight w:val="0"/>
      <w:marTop w:val="0"/>
      <w:marBottom w:val="0"/>
      <w:divBdr>
        <w:top w:val="none" w:sz="0" w:space="0" w:color="auto"/>
        <w:left w:val="none" w:sz="0" w:space="0" w:color="auto"/>
        <w:bottom w:val="none" w:sz="0" w:space="0" w:color="auto"/>
        <w:right w:val="none" w:sz="0" w:space="0" w:color="auto"/>
      </w:divBdr>
    </w:div>
    <w:div w:id="612057784">
      <w:bodyDiv w:val="1"/>
      <w:marLeft w:val="0"/>
      <w:marRight w:val="0"/>
      <w:marTop w:val="0"/>
      <w:marBottom w:val="0"/>
      <w:divBdr>
        <w:top w:val="none" w:sz="0" w:space="0" w:color="auto"/>
        <w:left w:val="none" w:sz="0" w:space="0" w:color="auto"/>
        <w:bottom w:val="none" w:sz="0" w:space="0" w:color="auto"/>
        <w:right w:val="none" w:sz="0" w:space="0" w:color="auto"/>
      </w:divBdr>
    </w:div>
    <w:div w:id="617030460">
      <w:bodyDiv w:val="1"/>
      <w:marLeft w:val="0"/>
      <w:marRight w:val="0"/>
      <w:marTop w:val="0"/>
      <w:marBottom w:val="0"/>
      <w:divBdr>
        <w:top w:val="none" w:sz="0" w:space="0" w:color="auto"/>
        <w:left w:val="none" w:sz="0" w:space="0" w:color="auto"/>
        <w:bottom w:val="none" w:sz="0" w:space="0" w:color="auto"/>
        <w:right w:val="none" w:sz="0" w:space="0" w:color="auto"/>
      </w:divBdr>
    </w:div>
    <w:div w:id="672269642">
      <w:bodyDiv w:val="1"/>
      <w:marLeft w:val="0"/>
      <w:marRight w:val="0"/>
      <w:marTop w:val="0"/>
      <w:marBottom w:val="0"/>
      <w:divBdr>
        <w:top w:val="none" w:sz="0" w:space="0" w:color="auto"/>
        <w:left w:val="none" w:sz="0" w:space="0" w:color="auto"/>
        <w:bottom w:val="none" w:sz="0" w:space="0" w:color="auto"/>
        <w:right w:val="none" w:sz="0" w:space="0" w:color="auto"/>
      </w:divBdr>
    </w:div>
    <w:div w:id="708379790">
      <w:bodyDiv w:val="1"/>
      <w:marLeft w:val="0"/>
      <w:marRight w:val="0"/>
      <w:marTop w:val="0"/>
      <w:marBottom w:val="0"/>
      <w:divBdr>
        <w:top w:val="none" w:sz="0" w:space="0" w:color="auto"/>
        <w:left w:val="none" w:sz="0" w:space="0" w:color="auto"/>
        <w:bottom w:val="none" w:sz="0" w:space="0" w:color="auto"/>
        <w:right w:val="none" w:sz="0" w:space="0" w:color="auto"/>
      </w:divBdr>
    </w:div>
    <w:div w:id="742722715">
      <w:bodyDiv w:val="1"/>
      <w:marLeft w:val="0"/>
      <w:marRight w:val="0"/>
      <w:marTop w:val="0"/>
      <w:marBottom w:val="0"/>
      <w:divBdr>
        <w:top w:val="none" w:sz="0" w:space="0" w:color="auto"/>
        <w:left w:val="none" w:sz="0" w:space="0" w:color="auto"/>
        <w:bottom w:val="none" w:sz="0" w:space="0" w:color="auto"/>
        <w:right w:val="none" w:sz="0" w:space="0" w:color="auto"/>
      </w:divBdr>
    </w:div>
    <w:div w:id="749042381">
      <w:bodyDiv w:val="1"/>
      <w:marLeft w:val="0"/>
      <w:marRight w:val="0"/>
      <w:marTop w:val="0"/>
      <w:marBottom w:val="0"/>
      <w:divBdr>
        <w:top w:val="none" w:sz="0" w:space="0" w:color="auto"/>
        <w:left w:val="none" w:sz="0" w:space="0" w:color="auto"/>
        <w:bottom w:val="none" w:sz="0" w:space="0" w:color="auto"/>
        <w:right w:val="none" w:sz="0" w:space="0" w:color="auto"/>
      </w:divBdr>
    </w:div>
    <w:div w:id="754521274">
      <w:bodyDiv w:val="1"/>
      <w:marLeft w:val="0"/>
      <w:marRight w:val="0"/>
      <w:marTop w:val="0"/>
      <w:marBottom w:val="0"/>
      <w:divBdr>
        <w:top w:val="none" w:sz="0" w:space="0" w:color="auto"/>
        <w:left w:val="none" w:sz="0" w:space="0" w:color="auto"/>
        <w:bottom w:val="none" w:sz="0" w:space="0" w:color="auto"/>
        <w:right w:val="none" w:sz="0" w:space="0" w:color="auto"/>
      </w:divBdr>
    </w:div>
    <w:div w:id="769354526">
      <w:bodyDiv w:val="1"/>
      <w:marLeft w:val="0"/>
      <w:marRight w:val="0"/>
      <w:marTop w:val="0"/>
      <w:marBottom w:val="0"/>
      <w:divBdr>
        <w:top w:val="none" w:sz="0" w:space="0" w:color="auto"/>
        <w:left w:val="none" w:sz="0" w:space="0" w:color="auto"/>
        <w:bottom w:val="none" w:sz="0" w:space="0" w:color="auto"/>
        <w:right w:val="none" w:sz="0" w:space="0" w:color="auto"/>
      </w:divBdr>
    </w:div>
    <w:div w:id="790977406">
      <w:bodyDiv w:val="1"/>
      <w:marLeft w:val="0"/>
      <w:marRight w:val="0"/>
      <w:marTop w:val="0"/>
      <w:marBottom w:val="0"/>
      <w:divBdr>
        <w:top w:val="none" w:sz="0" w:space="0" w:color="auto"/>
        <w:left w:val="none" w:sz="0" w:space="0" w:color="auto"/>
        <w:bottom w:val="none" w:sz="0" w:space="0" w:color="auto"/>
        <w:right w:val="none" w:sz="0" w:space="0" w:color="auto"/>
      </w:divBdr>
    </w:div>
    <w:div w:id="821505611">
      <w:bodyDiv w:val="1"/>
      <w:marLeft w:val="0"/>
      <w:marRight w:val="0"/>
      <w:marTop w:val="0"/>
      <w:marBottom w:val="0"/>
      <w:divBdr>
        <w:top w:val="none" w:sz="0" w:space="0" w:color="auto"/>
        <w:left w:val="none" w:sz="0" w:space="0" w:color="auto"/>
        <w:bottom w:val="none" w:sz="0" w:space="0" w:color="auto"/>
        <w:right w:val="none" w:sz="0" w:space="0" w:color="auto"/>
      </w:divBdr>
    </w:div>
    <w:div w:id="822820476">
      <w:bodyDiv w:val="1"/>
      <w:marLeft w:val="0"/>
      <w:marRight w:val="0"/>
      <w:marTop w:val="0"/>
      <w:marBottom w:val="0"/>
      <w:divBdr>
        <w:top w:val="none" w:sz="0" w:space="0" w:color="auto"/>
        <w:left w:val="none" w:sz="0" w:space="0" w:color="auto"/>
        <w:bottom w:val="none" w:sz="0" w:space="0" w:color="auto"/>
        <w:right w:val="none" w:sz="0" w:space="0" w:color="auto"/>
      </w:divBdr>
    </w:div>
    <w:div w:id="865605124">
      <w:bodyDiv w:val="1"/>
      <w:marLeft w:val="0"/>
      <w:marRight w:val="0"/>
      <w:marTop w:val="0"/>
      <w:marBottom w:val="0"/>
      <w:divBdr>
        <w:top w:val="none" w:sz="0" w:space="0" w:color="auto"/>
        <w:left w:val="none" w:sz="0" w:space="0" w:color="auto"/>
        <w:bottom w:val="none" w:sz="0" w:space="0" w:color="auto"/>
        <w:right w:val="none" w:sz="0" w:space="0" w:color="auto"/>
      </w:divBdr>
    </w:div>
    <w:div w:id="889612723">
      <w:bodyDiv w:val="1"/>
      <w:marLeft w:val="0"/>
      <w:marRight w:val="0"/>
      <w:marTop w:val="0"/>
      <w:marBottom w:val="0"/>
      <w:divBdr>
        <w:top w:val="none" w:sz="0" w:space="0" w:color="auto"/>
        <w:left w:val="none" w:sz="0" w:space="0" w:color="auto"/>
        <w:bottom w:val="none" w:sz="0" w:space="0" w:color="auto"/>
        <w:right w:val="none" w:sz="0" w:space="0" w:color="auto"/>
      </w:divBdr>
    </w:div>
    <w:div w:id="925727138">
      <w:bodyDiv w:val="1"/>
      <w:marLeft w:val="0"/>
      <w:marRight w:val="0"/>
      <w:marTop w:val="0"/>
      <w:marBottom w:val="0"/>
      <w:divBdr>
        <w:top w:val="none" w:sz="0" w:space="0" w:color="auto"/>
        <w:left w:val="none" w:sz="0" w:space="0" w:color="auto"/>
        <w:bottom w:val="none" w:sz="0" w:space="0" w:color="auto"/>
        <w:right w:val="none" w:sz="0" w:space="0" w:color="auto"/>
      </w:divBdr>
    </w:div>
    <w:div w:id="981615723">
      <w:bodyDiv w:val="1"/>
      <w:marLeft w:val="0"/>
      <w:marRight w:val="0"/>
      <w:marTop w:val="0"/>
      <w:marBottom w:val="0"/>
      <w:divBdr>
        <w:top w:val="none" w:sz="0" w:space="0" w:color="auto"/>
        <w:left w:val="none" w:sz="0" w:space="0" w:color="auto"/>
        <w:bottom w:val="none" w:sz="0" w:space="0" w:color="auto"/>
        <w:right w:val="none" w:sz="0" w:space="0" w:color="auto"/>
      </w:divBdr>
    </w:div>
    <w:div w:id="995841212">
      <w:bodyDiv w:val="1"/>
      <w:marLeft w:val="0"/>
      <w:marRight w:val="0"/>
      <w:marTop w:val="0"/>
      <w:marBottom w:val="0"/>
      <w:divBdr>
        <w:top w:val="none" w:sz="0" w:space="0" w:color="auto"/>
        <w:left w:val="none" w:sz="0" w:space="0" w:color="auto"/>
        <w:bottom w:val="none" w:sz="0" w:space="0" w:color="auto"/>
        <w:right w:val="none" w:sz="0" w:space="0" w:color="auto"/>
      </w:divBdr>
    </w:div>
    <w:div w:id="1048339486">
      <w:bodyDiv w:val="1"/>
      <w:marLeft w:val="0"/>
      <w:marRight w:val="0"/>
      <w:marTop w:val="0"/>
      <w:marBottom w:val="0"/>
      <w:divBdr>
        <w:top w:val="none" w:sz="0" w:space="0" w:color="auto"/>
        <w:left w:val="none" w:sz="0" w:space="0" w:color="auto"/>
        <w:bottom w:val="none" w:sz="0" w:space="0" w:color="auto"/>
        <w:right w:val="none" w:sz="0" w:space="0" w:color="auto"/>
      </w:divBdr>
      <w:divsChild>
        <w:div w:id="1405762564">
          <w:marLeft w:val="0"/>
          <w:marRight w:val="0"/>
          <w:marTop w:val="0"/>
          <w:marBottom w:val="0"/>
          <w:divBdr>
            <w:top w:val="none" w:sz="0" w:space="0" w:color="auto"/>
            <w:left w:val="none" w:sz="0" w:space="0" w:color="auto"/>
            <w:bottom w:val="none" w:sz="0" w:space="0" w:color="auto"/>
            <w:right w:val="none" w:sz="0" w:space="0" w:color="auto"/>
          </w:divBdr>
        </w:div>
        <w:div w:id="1960409388">
          <w:marLeft w:val="0"/>
          <w:marRight w:val="0"/>
          <w:marTop w:val="0"/>
          <w:marBottom w:val="0"/>
          <w:divBdr>
            <w:top w:val="none" w:sz="0" w:space="0" w:color="auto"/>
            <w:left w:val="none" w:sz="0" w:space="0" w:color="auto"/>
            <w:bottom w:val="none" w:sz="0" w:space="0" w:color="auto"/>
            <w:right w:val="none" w:sz="0" w:space="0" w:color="auto"/>
          </w:divBdr>
        </w:div>
      </w:divsChild>
    </w:div>
    <w:div w:id="1052539336">
      <w:bodyDiv w:val="1"/>
      <w:marLeft w:val="0"/>
      <w:marRight w:val="0"/>
      <w:marTop w:val="0"/>
      <w:marBottom w:val="0"/>
      <w:divBdr>
        <w:top w:val="none" w:sz="0" w:space="0" w:color="auto"/>
        <w:left w:val="none" w:sz="0" w:space="0" w:color="auto"/>
        <w:bottom w:val="none" w:sz="0" w:space="0" w:color="auto"/>
        <w:right w:val="none" w:sz="0" w:space="0" w:color="auto"/>
      </w:divBdr>
    </w:div>
    <w:div w:id="1150369411">
      <w:bodyDiv w:val="1"/>
      <w:marLeft w:val="0"/>
      <w:marRight w:val="0"/>
      <w:marTop w:val="0"/>
      <w:marBottom w:val="0"/>
      <w:divBdr>
        <w:top w:val="none" w:sz="0" w:space="0" w:color="auto"/>
        <w:left w:val="none" w:sz="0" w:space="0" w:color="auto"/>
        <w:bottom w:val="none" w:sz="0" w:space="0" w:color="auto"/>
        <w:right w:val="none" w:sz="0" w:space="0" w:color="auto"/>
      </w:divBdr>
    </w:div>
    <w:div w:id="1165245440">
      <w:bodyDiv w:val="1"/>
      <w:marLeft w:val="0"/>
      <w:marRight w:val="0"/>
      <w:marTop w:val="0"/>
      <w:marBottom w:val="0"/>
      <w:divBdr>
        <w:top w:val="none" w:sz="0" w:space="0" w:color="auto"/>
        <w:left w:val="none" w:sz="0" w:space="0" w:color="auto"/>
        <w:bottom w:val="none" w:sz="0" w:space="0" w:color="auto"/>
        <w:right w:val="none" w:sz="0" w:space="0" w:color="auto"/>
      </w:divBdr>
    </w:div>
    <w:div w:id="1169253309">
      <w:bodyDiv w:val="1"/>
      <w:marLeft w:val="0"/>
      <w:marRight w:val="0"/>
      <w:marTop w:val="0"/>
      <w:marBottom w:val="0"/>
      <w:divBdr>
        <w:top w:val="none" w:sz="0" w:space="0" w:color="auto"/>
        <w:left w:val="none" w:sz="0" w:space="0" w:color="auto"/>
        <w:bottom w:val="none" w:sz="0" w:space="0" w:color="auto"/>
        <w:right w:val="none" w:sz="0" w:space="0" w:color="auto"/>
      </w:divBdr>
    </w:div>
    <w:div w:id="1174803043">
      <w:bodyDiv w:val="1"/>
      <w:marLeft w:val="0"/>
      <w:marRight w:val="0"/>
      <w:marTop w:val="0"/>
      <w:marBottom w:val="0"/>
      <w:divBdr>
        <w:top w:val="none" w:sz="0" w:space="0" w:color="auto"/>
        <w:left w:val="none" w:sz="0" w:space="0" w:color="auto"/>
        <w:bottom w:val="none" w:sz="0" w:space="0" w:color="auto"/>
        <w:right w:val="none" w:sz="0" w:space="0" w:color="auto"/>
      </w:divBdr>
    </w:div>
    <w:div w:id="1183088551">
      <w:bodyDiv w:val="1"/>
      <w:marLeft w:val="0"/>
      <w:marRight w:val="0"/>
      <w:marTop w:val="0"/>
      <w:marBottom w:val="0"/>
      <w:divBdr>
        <w:top w:val="none" w:sz="0" w:space="0" w:color="auto"/>
        <w:left w:val="none" w:sz="0" w:space="0" w:color="auto"/>
        <w:bottom w:val="none" w:sz="0" w:space="0" w:color="auto"/>
        <w:right w:val="none" w:sz="0" w:space="0" w:color="auto"/>
      </w:divBdr>
    </w:div>
    <w:div w:id="1236087378">
      <w:bodyDiv w:val="1"/>
      <w:marLeft w:val="0"/>
      <w:marRight w:val="0"/>
      <w:marTop w:val="0"/>
      <w:marBottom w:val="0"/>
      <w:divBdr>
        <w:top w:val="none" w:sz="0" w:space="0" w:color="auto"/>
        <w:left w:val="none" w:sz="0" w:space="0" w:color="auto"/>
        <w:bottom w:val="none" w:sz="0" w:space="0" w:color="auto"/>
        <w:right w:val="none" w:sz="0" w:space="0" w:color="auto"/>
      </w:divBdr>
    </w:div>
    <w:div w:id="1238134295">
      <w:bodyDiv w:val="1"/>
      <w:marLeft w:val="0"/>
      <w:marRight w:val="0"/>
      <w:marTop w:val="0"/>
      <w:marBottom w:val="0"/>
      <w:divBdr>
        <w:top w:val="none" w:sz="0" w:space="0" w:color="auto"/>
        <w:left w:val="none" w:sz="0" w:space="0" w:color="auto"/>
        <w:bottom w:val="none" w:sz="0" w:space="0" w:color="auto"/>
        <w:right w:val="none" w:sz="0" w:space="0" w:color="auto"/>
      </w:divBdr>
    </w:div>
    <w:div w:id="1265379895">
      <w:bodyDiv w:val="1"/>
      <w:marLeft w:val="0"/>
      <w:marRight w:val="0"/>
      <w:marTop w:val="0"/>
      <w:marBottom w:val="0"/>
      <w:divBdr>
        <w:top w:val="none" w:sz="0" w:space="0" w:color="auto"/>
        <w:left w:val="none" w:sz="0" w:space="0" w:color="auto"/>
        <w:bottom w:val="none" w:sz="0" w:space="0" w:color="auto"/>
        <w:right w:val="none" w:sz="0" w:space="0" w:color="auto"/>
      </w:divBdr>
    </w:div>
    <w:div w:id="1274440786">
      <w:bodyDiv w:val="1"/>
      <w:marLeft w:val="0"/>
      <w:marRight w:val="0"/>
      <w:marTop w:val="0"/>
      <w:marBottom w:val="0"/>
      <w:divBdr>
        <w:top w:val="none" w:sz="0" w:space="0" w:color="auto"/>
        <w:left w:val="none" w:sz="0" w:space="0" w:color="auto"/>
        <w:bottom w:val="none" w:sz="0" w:space="0" w:color="auto"/>
        <w:right w:val="none" w:sz="0" w:space="0" w:color="auto"/>
      </w:divBdr>
    </w:div>
    <w:div w:id="1282107657">
      <w:bodyDiv w:val="1"/>
      <w:marLeft w:val="0"/>
      <w:marRight w:val="0"/>
      <w:marTop w:val="0"/>
      <w:marBottom w:val="0"/>
      <w:divBdr>
        <w:top w:val="none" w:sz="0" w:space="0" w:color="auto"/>
        <w:left w:val="none" w:sz="0" w:space="0" w:color="auto"/>
        <w:bottom w:val="none" w:sz="0" w:space="0" w:color="auto"/>
        <w:right w:val="none" w:sz="0" w:space="0" w:color="auto"/>
      </w:divBdr>
    </w:div>
    <w:div w:id="1311667010">
      <w:bodyDiv w:val="1"/>
      <w:marLeft w:val="0"/>
      <w:marRight w:val="0"/>
      <w:marTop w:val="0"/>
      <w:marBottom w:val="0"/>
      <w:divBdr>
        <w:top w:val="none" w:sz="0" w:space="0" w:color="auto"/>
        <w:left w:val="none" w:sz="0" w:space="0" w:color="auto"/>
        <w:bottom w:val="none" w:sz="0" w:space="0" w:color="auto"/>
        <w:right w:val="none" w:sz="0" w:space="0" w:color="auto"/>
      </w:divBdr>
    </w:div>
    <w:div w:id="1313946450">
      <w:bodyDiv w:val="1"/>
      <w:marLeft w:val="0"/>
      <w:marRight w:val="0"/>
      <w:marTop w:val="0"/>
      <w:marBottom w:val="0"/>
      <w:divBdr>
        <w:top w:val="none" w:sz="0" w:space="0" w:color="auto"/>
        <w:left w:val="none" w:sz="0" w:space="0" w:color="auto"/>
        <w:bottom w:val="none" w:sz="0" w:space="0" w:color="auto"/>
        <w:right w:val="none" w:sz="0" w:space="0" w:color="auto"/>
      </w:divBdr>
    </w:div>
    <w:div w:id="1346323532">
      <w:bodyDiv w:val="1"/>
      <w:marLeft w:val="0"/>
      <w:marRight w:val="0"/>
      <w:marTop w:val="0"/>
      <w:marBottom w:val="0"/>
      <w:divBdr>
        <w:top w:val="none" w:sz="0" w:space="0" w:color="auto"/>
        <w:left w:val="none" w:sz="0" w:space="0" w:color="auto"/>
        <w:bottom w:val="none" w:sz="0" w:space="0" w:color="auto"/>
        <w:right w:val="none" w:sz="0" w:space="0" w:color="auto"/>
      </w:divBdr>
    </w:div>
    <w:div w:id="1353798512">
      <w:bodyDiv w:val="1"/>
      <w:marLeft w:val="0"/>
      <w:marRight w:val="0"/>
      <w:marTop w:val="0"/>
      <w:marBottom w:val="0"/>
      <w:divBdr>
        <w:top w:val="none" w:sz="0" w:space="0" w:color="auto"/>
        <w:left w:val="none" w:sz="0" w:space="0" w:color="auto"/>
        <w:bottom w:val="none" w:sz="0" w:space="0" w:color="auto"/>
        <w:right w:val="none" w:sz="0" w:space="0" w:color="auto"/>
      </w:divBdr>
    </w:div>
    <w:div w:id="1403916174">
      <w:bodyDiv w:val="1"/>
      <w:marLeft w:val="0"/>
      <w:marRight w:val="0"/>
      <w:marTop w:val="0"/>
      <w:marBottom w:val="0"/>
      <w:divBdr>
        <w:top w:val="none" w:sz="0" w:space="0" w:color="auto"/>
        <w:left w:val="none" w:sz="0" w:space="0" w:color="auto"/>
        <w:bottom w:val="none" w:sz="0" w:space="0" w:color="auto"/>
        <w:right w:val="none" w:sz="0" w:space="0" w:color="auto"/>
      </w:divBdr>
    </w:div>
    <w:div w:id="1453592540">
      <w:bodyDiv w:val="1"/>
      <w:marLeft w:val="0"/>
      <w:marRight w:val="0"/>
      <w:marTop w:val="0"/>
      <w:marBottom w:val="0"/>
      <w:divBdr>
        <w:top w:val="none" w:sz="0" w:space="0" w:color="auto"/>
        <w:left w:val="none" w:sz="0" w:space="0" w:color="auto"/>
        <w:bottom w:val="none" w:sz="0" w:space="0" w:color="auto"/>
        <w:right w:val="none" w:sz="0" w:space="0" w:color="auto"/>
      </w:divBdr>
    </w:div>
    <w:div w:id="1482237575">
      <w:bodyDiv w:val="1"/>
      <w:marLeft w:val="0"/>
      <w:marRight w:val="0"/>
      <w:marTop w:val="0"/>
      <w:marBottom w:val="0"/>
      <w:divBdr>
        <w:top w:val="none" w:sz="0" w:space="0" w:color="auto"/>
        <w:left w:val="none" w:sz="0" w:space="0" w:color="auto"/>
        <w:bottom w:val="none" w:sz="0" w:space="0" w:color="auto"/>
        <w:right w:val="none" w:sz="0" w:space="0" w:color="auto"/>
      </w:divBdr>
    </w:div>
    <w:div w:id="1550653020">
      <w:bodyDiv w:val="1"/>
      <w:marLeft w:val="0"/>
      <w:marRight w:val="0"/>
      <w:marTop w:val="0"/>
      <w:marBottom w:val="0"/>
      <w:divBdr>
        <w:top w:val="none" w:sz="0" w:space="0" w:color="auto"/>
        <w:left w:val="none" w:sz="0" w:space="0" w:color="auto"/>
        <w:bottom w:val="none" w:sz="0" w:space="0" w:color="auto"/>
        <w:right w:val="none" w:sz="0" w:space="0" w:color="auto"/>
      </w:divBdr>
    </w:div>
    <w:div w:id="1554151289">
      <w:bodyDiv w:val="1"/>
      <w:marLeft w:val="0"/>
      <w:marRight w:val="0"/>
      <w:marTop w:val="0"/>
      <w:marBottom w:val="0"/>
      <w:divBdr>
        <w:top w:val="none" w:sz="0" w:space="0" w:color="auto"/>
        <w:left w:val="none" w:sz="0" w:space="0" w:color="auto"/>
        <w:bottom w:val="none" w:sz="0" w:space="0" w:color="auto"/>
        <w:right w:val="none" w:sz="0" w:space="0" w:color="auto"/>
      </w:divBdr>
    </w:div>
    <w:div w:id="1572421231">
      <w:bodyDiv w:val="1"/>
      <w:marLeft w:val="0"/>
      <w:marRight w:val="0"/>
      <w:marTop w:val="0"/>
      <w:marBottom w:val="0"/>
      <w:divBdr>
        <w:top w:val="none" w:sz="0" w:space="0" w:color="auto"/>
        <w:left w:val="none" w:sz="0" w:space="0" w:color="auto"/>
        <w:bottom w:val="none" w:sz="0" w:space="0" w:color="auto"/>
        <w:right w:val="none" w:sz="0" w:space="0" w:color="auto"/>
      </w:divBdr>
    </w:div>
    <w:div w:id="1636136778">
      <w:bodyDiv w:val="1"/>
      <w:marLeft w:val="0"/>
      <w:marRight w:val="0"/>
      <w:marTop w:val="0"/>
      <w:marBottom w:val="0"/>
      <w:divBdr>
        <w:top w:val="none" w:sz="0" w:space="0" w:color="auto"/>
        <w:left w:val="none" w:sz="0" w:space="0" w:color="auto"/>
        <w:bottom w:val="none" w:sz="0" w:space="0" w:color="auto"/>
        <w:right w:val="none" w:sz="0" w:space="0" w:color="auto"/>
      </w:divBdr>
    </w:div>
    <w:div w:id="1643076381">
      <w:bodyDiv w:val="1"/>
      <w:marLeft w:val="0"/>
      <w:marRight w:val="0"/>
      <w:marTop w:val="0"/>
      <w:marBottom w:val="0"/>
      <w:divBdr>
        <w:top w:val="none" w:sz="0" w:space="0" w:color="auto"/>
        <w:left w:val="none" w:sz="0" w:space="0" w:color="auto"/>
        <w:bottom w:val="none" w:sz="0" w:space="0" w:color="auto"/>
        <w:right w:val="none" w:sz="0" w:space="0" w:color="auto"/>
      </w:divBdr>
    </w:div>
    <w:div w:id="1681933563">
      <w:bodyDiv w:val="1"/>
      <w:marLeft w:val="0"/>
      <w:marRight w:val="0"/>
      <w:marTop w:val="0"/>
      <w:marBottom w:val="0"/>
      <w:divBdr>
        <w:top w:val="none" w:sz="0" w:space="0" w:color="auto"/>
        <w:left w:val="none" w:sz="0" w:space="0" w:color="auto"/>
        <w:bottom w:val="none" w:sz="0" w:space="0" w:color="auto"/>
        <w:right w:val="none" w:sz="0" w:space="0" w:color="auto"/>
      </w:divBdr>
    </w:div>
    <w:div w:id="1713573429">
      <w:bodyDiv w:val="1"/>
      <w:marLeft w:val="0"/>
      <w:marRight w:val="0"/>
      <w:marTop w:val="0"/>
      <w:marBottom w:val="0"/>
      <w:divBdr>
        <w:top w:val="none" w:sz="0" w:space="0" w:color="auto"/>
        <w:left w:val="none" w:sz="0" w:space="0" w:color="auto"/>
        <w:bottom w:val="none" w:sz="0" w:space="0" w:color="auto"/>
        <w:right w:val="none" w:sz="0" w:space="0" w:color="auto"/>
      </w:divBdr>
    </w:div>
    <w:div w:id="1754547918">
      <w:bodyDiv w:val="1"/>
      <w:marLeft w:val="0"/>
      <w:marRight w:val="0"/>
      <w:marTop w:val="0"/>
      <w:marBottom w:val="0"/>
      <w:divBdr>
        <w:top w:val="none" w:sz="0" w:space="0" w:color="auto"/>
        <w:left w:val="none" w:sz="0" w:space="0" w:color="auto"/>
        <w:bottom w:val="none" w:sz="0" w:space="0" w:color="auto"/>
        <w:right w:val="none" w:sz="0" w:space="0" w:color="auto"/>
      </w:divBdr>
    </w:div>
    <w:div w:id="1757705171">
      <w:bodyDiv w:val="1"/>
      <w:marLeft w:val="0"/>
      <w:marRight w:val="0"/>
      <w:marTop w:val="0"/>
      <w:marBottom w:val="0"/>
      <w:divBdr>
        <w:top w:val="none" w:sz="0" w:space="0" w:color="auto"/>
        <w:left w:val="none" w:sz="0" w:space="0" w:color="auto"/>
        <w:bottom w:val="none" w:sz="0" w:space="0" w:color="auto"/>
        <w:right w:val="none" w:sz="0" w:space="0" w:color="auto"/>
      </w:divBdr>
    </w:div>
    <w:div w:id="1766227457">
      <w:bodyDiv w:val="1"/>
      <w:marLeft w:val="0"/>
      <w:marRight w:val="0"/>
      <w:marTop w:val="0"/>
      <w:marBottom w:val="0"/>
      <w:divBdr>
        <w:top w:val="none" w:sz="0" w:space="0" w:color="auto"/>
        <w:left w:val="none" w:sz="0" w:space="0" w:color="auto"/>
        <w:bottom w:val="none" w:sz="0" w:space="0" w:color="auto"/>
        <w:right w:val="none" w:sz="0" w:space="0" w:color="auto"/>
      </w:divBdr>
    </w:div>
    <w:div w:id="1811164399">
      <w:bodyDiv w:val="1"/>
      <w:marLeft w:val="0"/>
      <w:marRight w:val="0"/>
      <w:marTop w:val="0"/>
      <w:marBottom w:val="0"/>
      <w:divBdr>
        <w:top w:val="none" w:sz="0" w:space="0" w:color="auto"/>
        <w:left w:val="none" w:sz="0" w:space="0" w:color="auto"/>
        <w:bottom w:val="none" w:sz="0" w:space="0" w:color="auto"/>
        <w:right w:val="none" w:sz="0" w:space="0" w:color="auto"/>
      </w:divBdr>
    </w:div>
    <w:div w:id="1825777266">
      <w:bodyDiv w:val="1"/>
      <w:marLeft w:val="0"/>
      <w:marRight w:val="0"/>
      <w:marTop w:val="0"/>
      <w:marBottom w:val="0"/>
      <w:divBdr>
        <w:top w:val="none" w:sz="0" w:space="0" w:color="auto"/>
        <w:left w:val="none" w:sz="0" w:space="0" w:color="auto"/>
        <w:bottom w:val="none" w:sz="0" w:space="0" w:color="auto"/>
        <w:right w:val="none" w:sz="0" w:space="0" w:color="auto"/>
      </w:divBdr>
    </w:div>
    <w:div w:id="1854957855">
      <w:bodyDiv w:val="1"/>
      <w:marLeft w:val="0"/>
      <w:marRight w:val="0"/>
      <w:marTop w:val="0"/>
      <w:marBottom w:val="0"/>
      <w:divBdr>
        <w:top w:val="none" w:sz="0" w:space="0" w:color="auto"/>
        <w:left w:val="none" w:sz="0" w:space="0" w:color="auto"/>
        <w:bottom w:val="none" w:sz="0" w:space="0" w:color="auto"/>
        <w:right w:val="none" w:sz="0" w:space="0" w:color="auto"/>
      </w:divBdr>
    </w:div>
    <w:div w:id="1875147999">
      <w:bodyDiv w:val="1"/>
      <w:marLeft w:val="0"/>
      <w:marRight w:val="0"/>
      <w:marTop w:val="0"/>
      <w:marBottom w:val="0"/>
      <w:divBdr>
        <w:top w:val="none" w:sz="0" w:space="0" w:color="auto"/>
        <w:left w:val="none" w:sz="0" w:space="0" w:color="auto"/>
        <w:bottom w:val="none" w:sz="0" w:space="0" w:color="auto"/>
        <w:right w:val="none" w:sz="0" w:space="0" w:color="auto"/>
      </w:divBdr>
    </w:div>
    <w:div w:id="1900169203">
      <w:bodyDiv w:val="1"/>
      <w:marLeft w:val="0"/>
      <w:marRight w:val="0"/>
      <w:marTop w:val="0"/>
      <w:marBottom w:val="0"/>
      <w:divBdr>
        <w:top w:val="none" w:sz="0" w:space="0" w:color="auto"/>
        <w:left w:val="none" w:sz="0" w:space="0" w:color="auto"/>
        <w:bottom w:val="none" w:sz="0" w:space="0" w:color="auto"/>
        <w:right w:val="none" w:sz="0" w:space="0" w:color="auto"/>
      </w:divBdr>
      <w:divsChild>
        <w:div w:id="435710729">
          <w:marLeft w:val="0"/>
          <w:marRight w:val="0"/>
          <w:marTop w:val="0"/>
          <w:marBottom w:val="0"/>
          <w:divBdr>
            <w:top w:val="none" w:sz="0" w:space="0" w:color="auto"/>
            <w:left w:val="none" w:sz="0" w:space="0" w:color="auto"/>
            <w:bottom w:val="none" w:sz="0" w:space="0" w:color="auto"/>
            <w:right w:val="none" w:sz="0" w:space="0" w:color="auto"/>
          </w:divBdr>
        </w:div>
        <w:div w:id="2010937179">
          <w:marLeft w:val="0"/>
          <w:marRight w:val="0"/>
          <w:marTop w:val="0"/>
          <w:marBottom w:val="0"/>
          <w:divBdr>
            <w:top w:val="none" w:sz="0" w:space="0" w:color="auto"/>
            <w:left w:val="none" w:sz="0" w:space="0" w:color="auto"/>
            <w:bottom w:val="none" w:sz="0" w:space="0" w:color="auto"/>
            <w:right w:val="none" w:sz="0" w:space="0" w:color="auto"/>
          </w:divBdr>
        </w:div>
      </w:divsChild>
    </w:div>
    <w:div w:id="1905989107">
      <w:bodyDiv w:val="1"/>
      <w:marLeft w:val="0"/>
      <w:marRight w:val="0"/>
      <w:marTop w:val="0"/>
      <w:marBottom w:val="0"/>
      <w:divBdr>
        <w:top w:val="none" w:sz="0" w:space="0" w:color="auto"/>
        <w:left w:val="none" w:sz="0" w:space="0" w:color="auto"/>
        <w:bottom w:val="none" w:sz="0" w:space="0" w:color="auto"/>
        <w:right w:val="none" w:sz="0" w:space="0" w:color="auto"/>
      </w:divBdr>
    </w:div>
    <w:div w:id="1976833072">
      <w:bodyDiv w:val="1"/>
      <w:marLeft w:val="0"/>
      <w:marRight w:val="0"/>
      <w:marTop w:val="0"/>
      <w:marBottom w:val="0"/>
      <w:divBdr>
        <w:top w:val="none" w:sz="0" w:space="0" w:color="auto"/>
        <w:left w:val="none" w:sz="0" w:space="0" w:color="auto"/>
        <w:bottom w:val="none" w:sz="0" w:space="0" w:color="auto"/>
        <w:right w:val="none" w:sz="0" w:space="0" w:color="auto"/>
      </w:divBdr>
    </w:div>
    <w:div w:id="2050104521">
      <w:bodyDiv w:val="1"/>
      <w:marLeft w:val="0"/>
      <w:marRight w:val="0"/>
      <w:marTop w:val="0"/>
      <w:marBottom w:val="0"/>
      <w:divBdr>
        <w:top w:val="none" w:sz="0" w:space="0" w:color="auto"/>
        <w:left w:val="none" w:sz="0" w:space="0" w:color="auto"/>
        <w:bottom w:val="none" w:sz="0" w:space="0" w:color="auto"/>
        <w:right w:val="none" w:sz="0" w:space="0" w:color="auto"/>
      </w:divBdr>
    </w:div>
    <w:div w:id="2092121753">
      <w:bodyDiv w:val="1"/>
      <w:marLeft w:val="0"/>
      <w:marRight w:val="0"/>
      <w:marTop w:val="0"/>
      <w:marBottom w:val="0"/>
      <w:divBdr>
        <w:top w:val="none" w:sz="0" w:space="0" w:color="auto"/>
        <w:left w:val="none" w:sz="0" w:space="0" w:color="auto"/>
        <w:bottom w:val="none" w:sz="0" w:space="0" w:color="auto"/>
        <w:right w:val="none" w:sz="0" w:space="0" w:color="auto"/>
      </w:divBdr>
    </w:div>
    <w:div w:id="2095979289">
      <w:bodyDiv w:val="1"/>
      <w:marLeft w:val="0"/>
      <w:marRight w:val="0"/>
      <w:marTop w:val="0"/>
      <w:marBottom w:val="0"/>
      <w:divBdr>
        <w:top w:val="none" w:sz="0" w:space="0" w:color="auto"/>
        <w:left w:val="none" w:sz="0" w:space="0" w:color="auto"/>
        <w:bottom w:val="none" w:sz="0" w:space="0" w:color="auto"/>
        <w:right w:val="none" w:sz="0" w:space="0" w:color="auto"/>
      </w:divBdr>
    </w:div>
    <w:div w:id="211000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hyperlink" Target="http://nepp.nasa.gov/docuploads/AA0D50FD-18BE-48EF-ABA2E1C4EFF2395F/ppl21notice1.pdf" TargetMode="External"/><Relationship Id="rId21" Type="http://schemas.openxmlformats.org/officeDocument/2006/relationships/image" Target="media/image12.emf"/><Relationship Id="rId34" Type="http://schemas.openxmlformats.org/officeDocument/2006/relationships/hyperlink" Target="http://esmat.esa.int/Publications/Published_papers/Corrosion_in_Space.pdf" TargetMode="External"/><Relationship Id="rId42" Type="http://schemas.openxmlformats.org/officeDocument/2006/relationships/hyperlink" Target="http://www.kosmotras.ru/upload/dneprlv.zip" TargetMode="External"/><Relationship Id="rId47" Type="http://schemas.openxmlformats.org/officeDocument/2006/relationships/hyperlink" Target="https://standards.nasa.gov/documents/detail/3315593" TargetMode="External"/><Relationship Id="rId50" Type="http://schemas.openxmlformats.org/officeDocument/2006/relationships/hyperlink" Target="https://standards.nasa.gov/documents/detail/3315720" TargetMode="External"/><Relationship Id="rId55" Type="http://schemas.openxmlformats.org/officeDocument/2006/relationships/hyperlink" Target="http://rsdo.gsfc.nasa.gov/catalog.html" TargetMode="External"/><Relationship Id="rId63" Type="http://schemas.openxmlformats.org/officeDocument/2006/relationships/chart" Target="charts/chart1.xml"/><Relationship Id="rId68"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hyperlink" Target="http://science.nasa.gov/about-us/smd-programs/earth-system-science-pathfinder/" TargetMode="External"/><Relationship Id="rId24" Type="http://schemas.openxmlformats.org/officeDocument/2006/relationships/comments" Target="comments.xml"/><Relationship Id="rId32" Type="http://schemas.openxmlformats.org/officeDocument/2006/relationships/hyperlink" Target="http://www.arianespace.com/launch-services-vega/VEGAUsersManual.pdf" TargetMode="External"/><Relationship Id="rId37" Type="http://schemas.openxmlformats.org/officeDocument/2006/relationships/hyperlink" Target="https://nepp.nasa.gov/files/22992/S-311-P-4_09C.pdf" TargetMode="External"/><Relationship Id="rId40" Type="http://schemas.openxmlformats.org/officeDocument/2006/relationships/hyperlink" Target="http://www.ilslaunch.com/sites/default/files/pdf/Proton%20Mission%20Planner%27s%20Guide%20Revision%207%20%28LKEB-9812-1990%29.pdf" TargetMode="External"/><Relationship Id="rId45" Type="http://schemas.openxmlformats.org/officeDocument/2006/relationships/hyperlink" Target="https://standards.nasa.gov/documents/detail/3314877" TargetMode="External"/><Relationship Id="rId53" Type="http://schemas.openxmlformats.org/officeDocument/2006/relationships/hyperlink" Target="http://www.orbital.com/NewsInfo/Publications/Minotaur_IV_Guide.pdf" TargetMode="External"/><Relationship Id="rId58" Type="http://schemas.openxmlformats.org/officeDocument/2006/relationships/hyperlink" Target="https://spacex.com/Falcon1UsersGuide.pdf" TargetMode="External"/><Relationship Id="rId66" Type="http://schemas.openxmlformats.org/officeDocument/2006/relationships/image" Target="media/image20.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hyperlink" Target="http://www.master-model.de/" TargetMode="External"/><Relationship Id="rId49" Type="http://schemas.openxmlformats.org/officeDocument/2006/relationships/hyperlink" Target="https://standards.nasa.gov/documents/detail/3315383" TargetMode="External"/><Relationship Id="rId57" Type="http://schemas.openxmlformats.org/officeDocument/2006/relationships/hyperlink" Target="http://www.sea-launch.com/customers_webpage/sluw/doc_src/SectionALL.pdf" TargetMode="External"/><Relationship Id="rId61" Type="http://schemas.openxmlformats.org/officeDocument/2006/relationships/hyperlink" Target="http://www.ulalaunch.com/site/docs/product_cards/guides/DeltaIIPayloadPlannersGuide2007.pdf" TargetMode="External"/><Relationship Id="rId10" Type="http://schemas.openxmlformats.org/officeDocument/2006/relationships/header" Target="header3.xml"/><Relationship Id="rId19" Type="http://schemas.openxmlformats.org/officeDocument/2006/relationships/image" Target="media/image10.emf"/><Relationship Id="rId31" Type="http://schemas.openxmlformats.org/officeDocument/2006/relationships/hyperlink" Target="http://www.arianespace.com/launch-services-soyuz/Soyuz-Users-Manual-March-2012.pdf" TargetMode="External"/><Relationship Id="rId44" Type="http://schemas.openxmlformats.org/officeDocument/2006/relationships/hyperlink" Target="https://standards.nasa.gov/documents/detail/3314876" TargetMode="External"/><Relationship Id="rId52" Type="http://schemas.openxmlformats.org/officeDocument/2006/relationships/hyperlink" Target="http://www.orbital.com/NewsInfo/Publications/Minotaur_Guide.pdf" TargetMode="External"/><Relationship Id="rId60" Type="http://schemas.openxmlformats.org/officeDocument/2006/relationships/hyperlink" Target="http://www.ulalaunch.com/site/docs/product_cards/guides/AtlasVUsersGuide2010.pdf" TargetMode="External"/><Relationship Id="rId65" Type="http://schemas.openxmlformats.org/officeDocument/2006/relationships/chart" Target="charts/chart2.xml"/><Relationship Id="rId73"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hyperlink" Target="http://www.arianespace.com/launch-services-ariane5/Ariane5_users_manual_Issue5_July2011.pdf" TargetMode="External"/><Relationship Id="rId35" Type="http://schemas.openxmlformats.org/officeDocument/2006/relationships/hyperlink" Target="https://www.fbo.gov/spg/NASA/HQ/OPHQDC/NNH12ZDA006O-EVI1/listing.html" TargetMode="External"/><Relationship Id="rId43" Type="http://schemas.openxmlformats.org/officeDocument/2006/relationships/hyperlink" Target="http://www.orbitaldebris.jsc.nasa.gov/model/engrmodel.html" TargetMode="External"/><Relationship Id="rId48" Type="http://schemas.openxmlformats.org/officeDocument/2006/relationships/hyperlink" Target="https://standards.nasa.gov/documents/detail/3314921" TargetMode="External"/><Relationship Id="rId56" Type="http://schemas.openxmlformats.org/officeDocument/2006/relationships/hyperlink" Target="https://www.fbo.gov/spg/NASA/LaRC/OPDC20220/CII-GEO/listing.html" TargetMode="External"/><Relationship Id="rId64" Type="http://schemas.openxmlformats.org/officeDocument/2006/relationships/image" Target="media/image19.png"/><Relationship Id="rId69" Type="http://schemas.openxmlformats.org/officeDocument/2006/relationships/chart" Target="charts/chart4.xml"/><Relationship Id="rId8" Type="http://schemas.openxmlformats.org/officeDocument/2006/relationships/header" Target="header1.xml"/><Relationship Id="rId51" Type="http://schemas.openxmlformats.org/officeDocument/2006/relationships/hyperlink" Target="https://standards.nasa.gov/documents/viewdoc/3315479/3315479" TargetMode="External"/><Relationship Id="rId72"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microsoft.com/office/2011/relationships/commentsExtended" Target="commentsExtended.xml"/><Relationship Id="rId33" Type="http://schemas.openxmlformats.org/officeDocument/2006/relationships/hyperlink" Target="http://modelweb.gsfc.nasa.gov/models/trap.html" TargetMode="External"/><Relationship Id="rId38" Type="http://schemas.openxmlformats.org/officeDocument/2006/relationships/hyperlink" Target="http://eed.gsfc.nasa.gov/docs/harness/harness.html" TargetMode="External"/><Relationship Id="rId46" Type="http://schemas.openxmlformats.org/officeDocument/2006/relationships/hyperlink" Target="https://standards.nasa.gov/documents/detail/3315121" TargetMode="External"/><Relationship Id="rId59" Type="http://schemas.openxmlformats.org/officeDocument/2006/relationships/hyperlink" Target="https://spacex.com/Falcon9UsersGuide_2009.pdf" TargetMode="External"/><Relationship Id="rId67" Type="http://schemas.openxmlformats.org/officeDocument/2006/relationships/image" Target="media/image21.png"/><Relationship Id="rId20" Type="http://schemas.openxmlformats.org/officeDocument/2006/relationships/image" Target="media/image11.emf"/><Relationship Id="rId41" Type="http://schemas.openxmlformats.org/officeDocument/2006/relationships/hyperlink" Target="http://www.ipc.org/4.0_Knowledge/4.1_Standards/IPC-J-STD-001ES.pdf" TargetMode="External"/><Relationship Id="rId54" Type="http://schemas.openxmlformats.org/officeDocument/2006/relationships/hyperlink" Target="http://www.orbital.com/NewsInfo/Publications/pegasus_ug.pdf" TargetMode="External"/><Relationship Id="rId62" Type="http://schemas.openxmlformats.org/officeDocument/2006/relationships/hyperlink" Target="http://www.ulalaunch.com/site/docs/product_cards/guides/DeltaIIPayloadPlannersGuide2007.pdf" TargetMode="External"/><Relationship Id="rId70" Type="http://schemas.openxmlformats.org/officeDocument/2006/relationships/chart" Target="charts/chart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534180\Documents\NASA\ESSP\CII\Technical%20Research\NICM%20Analysis\20110808%20NICM%20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534180\Documents\NASA\ESSP\CII\Technical%20Research\NICM%20Analysis\20110808%20NICM%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534180\Documents\NASA\ESSP\CII\Technical%20Research\NICM%20Analysis\20110808%20NICM%20Analys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534180\Documents\NASA\ESSP\CII\Technical%20Research\NICM%20Analysis\20110808%20NICM%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N. Radiator 1</c:v>
          </c:tx>
          <c:xVal>
            <c:numRef>
              <c:f>'sheet 1'!$AC$8:$AC$20</c:f>
              <c:numCache>
                <c:formatCode>General</c:formatCode>
                <c:ptCount val="13"/>
                <c:pt idx="0">
                  <c:v>-12</c:v>
                </c:pt>
                <c:pt idx="1">
                  <c:v>-10</c:v>
                </c:pt>
                <c:pt idx="2">
                  <c:v>-8</c:v>
                </c:pt>
                <c:pt idx="3">
                  <c:v>-6</c:v>
                </c:pt>
                <c:pt idx="4">
                  <c:v>-4</c:v>
                </c:pt>
                <c:pt idx="5">
                  <c:v>-2</c:v>
                </c:pt>
                <c:pt idx="6">
                  <c:v>0</c:v>
                </c:pt>
                <c:pt idx="7">
                  <c:v>2</c:v>
                </c:pt>
                <c:pt idx="8">
                  <c:v>4</c:v>
                </c:pt>
                <c:pt idx="9">
                  <c:v>6</c:v>
                </c:pt>
                <c:pt idx="10">
                  <c:v>8</c:v>
                </c:pt>
                <c:pt idx="11">
                  <c:v>10</c:v>
                </c:pt>
                <c:pt idx="12">
                  <c:v>12</c:v>
                </c:pt>
              </c:numCache>
            </c:numRef>
          </c:xVal>
          <c:yVal>
            <c:numRef>
              <c:f>'sheet 1'!$AD$8:$AD$20</c:f>
              <c:numCache>
                <c:formatCode>General</c:formatCode>
                <c:ptCount val="13"/>
                <c:pt idx="0">
                  <c:v>40.519463481170412</c:v>
                </c:pt>
                <c:pt idx="1">
                  <c:v>36.24301701670683</c:v>
                </c:pt>
                <c:pt idx="2">
                  <c:v>22.49660726608321</c:v>
                </c:pt>
                <c:pt idx="3">
                  <c:v>5.8871747256247371</c:v>
                </c:pt>
                <c:pt idx="4">
                  <c:v>22.765142182585141</c:v>
                </c:pt>
                <c:pt idx="5">
                  <c:v>39.667046877919283</c:v>
                </c:pt>
                <c:pt idx="6">
                  <c:v>45.867967064203476</c:v>
                </c:pt>
                <c:pt idx="7">
                  <c:v>39.845679406114392</c:v>
                </c:pt>
                <c:pt idx="8">
                  <c:v>22.818825368929801</c:v>
                </c:pt>
                <c:pt idx="9">
                  <c:v>5.8642705457677646</c:v>
                </c:pt>
                <c:pt idx="10">
                  <c:v>22.656321287995411</c:v>
                </c:pt>
                <c:pt idx="11">
                  <c:v>36.231296304941431</c:v>
                </c:pt>
                <c:pt idx="12">
                  <c:v>40.665911292640729</c:v>
                </c:pt>
              </c:numCache>
            </c:numRef>
          </c:yVal>
          <c:smooth val="1"/>
        </c:ser>
        <c:ser>
          <c:idx val="1"/>
          <c:order val="1"/>
          <c:tx>
            <c:v>N. Radiator 2</c:v>
          </c:tx>
          <c:xVal>
            <c:numRef>
              <c:f>'sheet 1'!$AC$8:$AC$20</c:f>
              <c:numCache>
                <c:formatCode>General</c:formatCode>
                <c:ptCount val="13"/>
                <c:pt idx="0">
                  <c:v>-12</c:v>
                </c:pt>
                <c:pt idx="1">
                  <c:v>-10</c:v>
                </c:pt>
                <c:pt idx="2">
                  <c:v>-8</c:v>
                </c:pt>
                <c:pt idx="3">
                  <c:v>-6</c:v>
                </c:pt>
                <c:pt idx="4">
                  <c:v>-4</c:v>
                </c:pt>
                <c:pt idx="5">
                  <c:v>-2</c:v>
                </c:pt>
                <c:pt idx="6">
                  <c:v>0</c:v>
                </c:pt>
                <c:pt idx="7">
                  <c:v>2</c:v>
                </c:pt>
                <c:pt idx="8">
                  <c:v>4</c:v>
                </c:pt>
                <c:pt idx="9">
                  <c:v>6</c:v>
                </c:pt>
                <c:pt idx="10">
                  <c:v>8</c:v>
                </c:pt>
                <c:pt idx="11">
                  <c:v>10</c:v>
                </c:pt>
                <c:pt idx="12">
                  <c:v>12</c:v>
                </c:pt>
              </c:numCache>
            </c:numRef>
          </c:xVal>
          <c:yVal>
            <c:numRef>
              <c:f>'sheet 1'!$AE$8:$AE$20</c:f>
              <c:numCache>
                <c:formatCode>General</c:formatCode>
                <c:ptCount val="13"/>
                <c:pt idx="0">
                  <c:v>36.84422521411237</c:v>
                </c:pt>
                <c:pt idx="1">
                  <c:v>32.757759606658148</c:v>
                </c:pt>
                <c:pt idx="2">
                  <c:v>20.180985111830811</c:v>
                </c:pt>
                <c:pt idx="3">
                  <c:v>4.620596264950839</c:v>
                </c:pt>
                <c:pt idx="4">
                  <c:v>20.025828681185601</c:v>
                </c:pt>
                <c:pt idx="5">
                  <c:v>35.956700268675242</c:v>
                </c:pt>
                <c:pt idx="6">
                  <c:v>41.322134814558183</c:v>
                </c:pt>
                <c:pt idx="7">
                  <c:v>35.977243070150102</c:v>
                </c:pt>
                <c:pt idx="8">
                  <c:v>19.91097716920531</c:v>
                </c:pt>
                <c:pt idx="9">
                  <c:v>4.5267867304010396</c:v>
                </c:pt>
                <c:pt idx="10">
                  <c:v>20.226167472788049</c:v>
                </c:pt>
                <c:pt idx="11">
                  <c:v>32.53727852635901</c:v>
                </c:pt>
                <c:pt idx="12">
                  <c:v>36.685869431278242</c:v>
                </c:pt>
              </c:numCache>
            </c:numRef>
          </c:yVal>
          <c:smooth val="1"/>
        </c:ser>
        <c:dLbls>
          <c:showLegendKey val="0"/>
          <c:showVal val="0"/>
          <c:showCatName val="0"/>
          <c:showSerName val="0"/>
          <c:showPercent val="0"/>
          <c:showBubbleSize val="0"/>
        </c:dLbls>
        <c:axId val="139569600"/>
        <c:axId val="139569992"/>
      </c:scatterChart>
      <c:valAx>
        <c:axId val="139569600"/>
        <c:scaling>
          <c:orientation val="minMax"/>
          <c:max val="12"/>
          <c:min val="-12"/>
        </c:scaling>
        <c:delete val="0"/>
        <c:axPos val="b"/>
        <c:title>
          <c:tx>
            <c:rich>
              <a:bodyPr/>
              <a:lstStyle/>
              <a:p>
                <a:pPr>
                  <a:defRPr sz="1200"/>
                </a:pPr>
                <a:r>
                  <a:rPr lang="en-US"/>
                  <a:t>Local</a:t>
                </a:r>
                <a:r>
                  <a:rPr lang="en-US" baseline="0"/>
                  <a:t> Satellite Time, h</a:t>
                </a:r>
                <a:endParaRPr lang="en-US"/>
              </a:p>
            </c:rich>
          </c:tx>
          <c:overlay val="0"/>
        </c:title>
        <c:numFmt formatCode="General" sourceLinked="1"/>
        <c:majorTickMark val="in"/>
        <c:minorTickMark val="none"/>
        <c:tickLblPos val="nextTo"/>
        <c:spPr>
          <a:ln>
            <a:solidFill>
              <a:sysClr val="windowText" lastClr="000000"/>
            </a:solidFill>
          </a:ln>
        </c:spPr>
        <c:txPr>
          <a:bodyPr rot="0" vert="horz"/>
          <a:lstStyle/>
          <a:p>
            <a:pPr>
              <a:defRPr sz="1200" b="0" i="0" u="none" strike="noStrike" baseline="0">
                <a:solidFill>
                  <a:srgbClr val="000000"/>
                </a:solidFill>
                <a:latin typeface="Calibri"/>
                <a:ea typeface="Calibri"/>
                <a:cs typeface="Calibri"/>
              </a:defRPr>
            </a:pPr>
            <a:endParaRPr lang="en-US"/>
          </a:p>
        </c:txPr>
        <c:crossAx val="139569992"/>
        <c:crosses val="autoZero"/>
        <c:crossBetween val="midCat"/>
        <c:majorUnit val="4"/>
      </c:valAx>
      <c:valAx>
        <c:axId val="139569992"/>
        <c:scaling>
          <c:orientation val="minMax"/>
          <c:max val="50"/>
        </c:scaling>
        <c:delete val="0"/>
        <c:axPos val="l"/>
        <c:majorGridlines/>
        <c:title>
          <c:tx>
            <c:rich>
              <a:bodyPr rot="-5400000" vert="horz"/>
              <a:lstStyle/>
              <a:p>
                <a:pPr>
                  <a:defRPr sz="1200"/>
                </a:pPr>
                <a:r>
                  <a:rPr lang="en-US"/>
                  <a:t>Radiator</a:t>
                </a:r>
                <a:r>
                  <a:rPr lang="en-US" baseline="0"/>
                  <a:t> Backload, W/m</a:t>
                </a:r>
                <a:r>
                  <a:rPr lang="en-US" baseline="30000"/>
                  <a:t>2</a:t>
                </a:r>
              </a:p>
            </c:rich>
          </c:tx>
          <c:overlay val="0"/>
        </c:title>
        <c:numFmt formatCode="General" sourceLinked="1"/>
        <c:majorTickMark val="in"/>
        <c:minorTickMark val="none"/>
        <c:tickLblPos val="nextTo"/>
        <c:spPr>
          <a:ln>
            <a:solidFill>
              <a:sysClr val="windowText" lastClr="000000"/>
            </a:solidFill>
          </a:ln>
        </c:spPr>
        <c:txPr>
          <a:bodyPr/>
          <a:lstStyle/>
          <a:p>
            <a:pPr>
              <a:defRPr sz="1200"/>
            </a:pPr>
            <a:endParaRPr lang="en-US"/>
          </a:p>
        </c:txPr>
        <c:crossAx val="139569600"/>
        <c:crossesAt val="-12"/>
        <c:crossBetween val="midCat"/>
      </c:valAx>
      <c:spPr>
        <a:ln>
          <a:solidFill>
            <a:sysClr val="windowText" lastClr="000000"/>
          </a:solidFill>
        </a:ln>
      </c:spPr>
    </c:plotArea>
    <c:legend>
      <c:legendPos val="r"/>
      <c:layout>
        <c:manualLayout>
          <c:xMode val="edge"/>
          <c:yMode val="edge"/>
          <c:x val="0.428806031598991"/>
          <c:y val="0.566993331914592"/>
          <c:w val="0.27146569914054902"/>
          <c:h val="0.159458005249344"/>
        </c:manualLayout>
      </c:layout>
      <c:overlay val="1"/>
      <c:spPr>
        <a:solidFill>
          <a:sysClr val="window" lastClr="FFFFFF"/>
        </a:solidFill>
        <a:ln>
          <a:solidFill>
            <a:sysClr val="windowText" lastClr="000000"/>
          </a:solidFill>
        </a:ln>
      </c:spPr>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Vibration</a:t>
            </a:r>
          </a:p>
        </c:rich>
      </c:tx>
      <c:overlay val="0"/>
      <c:spPr>
        <a:noFill/>
        <a:ln>
          <a:noFill/>
        </a:ln>
        <a:effectLst/>
      </c:spPr>
    </c:title>
    <c:autoTitleDeleted val="0"/>
    <c:plotArea>
      <c:layout/>
      <c:scatterChart>
        <c:scatterStyle val="lineMarker"/>
        <c:varyColors val="0"/>
        <c:ser>
          <c:idx val="0"/>
          <c:order val="0"/>
          <c:tx>
            <c:strRef>
              <c:f>'Random Vibe'!$B$28</c:f>
              <c:strCache>
                <c:ptCount val="1"/>
                <c:pt idx="0">
                  <c:v>HPID</c:v>
                </c:pt>
              </c:strCache>
            </c:strRef>
          </c:tx>
          <c:spPr>
            <a:ln w="25400" cap="rnd">
              <a:noFill/>
              <a:round/>
            </a:ln>
            <a:effectLst/>
          </c:spPr>
          <c:marker>
            <c:symbol val="circle"/>
            <c:size val="5"/>
            <c:spPr>
              <a:solidFill>
                <a:schemeClr val="accent1"/>
              </a:solidFill>
              <a:ln w="9525">
                <a:solidFill>
                  <a:schemeClr val="accent1"/>
                </a:solidFill>
              </a:ln>
              <a:effectLst/>
            </c:spPr>
          </c:marker>
          <c:xVal>
            <c:numRef>
              <c:f>'Random Vibe'!$A$29:$A$48</c:f>
              <c:numCache>
                <c:formatCode>General</c:formatCode>
                <c:ptCount val="20"/>
                <c:pt idx="0">
                  <c:v>20</c:v>
                </c:pt>
                <c:pt idx="1">
                  <c:v>30</c:v>
                </c:pt>
                <c:pt idx="2">
                  <c:v>40</c:v>
                </c:pt>
                <c:pt idx="3">
                  <c:v>50</c:v>
                </c:pt>
                <c:pt idx="4">
                  <c:v>60</c:v>
                </c:pt>
                <c:pt idx="5">
                  <c:v>70</c:v>
                </c:pt>
                <c:pt idx="6">
                  <c:v>80</c:v>
                </c:pt>
                <c:pt idx="7">
                  <c:v>90</c:v>
                </c:pt>
                <c:pt idx="8">
                  <c:v>100</c:v>
                </c:pt>
                <c:pt idx="9">
                  <c:v>200</c:v>
                </c:pt>
                <c:pt idx="10">
                  <c:v>300</c:v>
                </c:pt>
                <c:pt idx="11">
                  <c:v>400</c:v>
                </c:pt>
                <c:pt idx="12">
                  <c:v>450</c:v>
                </c:pt>
                <c:pt idx="13">
                  <c:v>500</c:v>
                </c:pt>
                <c:pt idx="14">
                  <c:v>600</c:v>
                </c:pt>
                <c:pt idx="15">
                  <c:v>700</c:v>
                </c:pt>
                <c:pt idx="16">
                  <c:v>800</c:v>
                </c:pt>
                <c:pt idx="17">
                  <c:v>900</c:v>
                </c:pt>
                <c:pt idx="18">
                  <c:v>1000</c:v>
                </c:pt>
                <c:pt idx="19">
                  <c:v>2000</c:v>
                </c:pt>
              </c:numCache>
            </c:numRef>
          </c:xVal>
          <c:yVal>
            <c:numRef>
              <c:f>'Random Vibe'!$B$29:$B$48</c:f>
              <c:numCache>
                <c:formatCode>General</c:formatCode>
                <c:ptCount val="20"/>
                <c:pt idx="0">
                  <c:v>0.04</c:v>
                </c:pt>
                <c:pt idx="1">
                  <c:v>7.2350825666507496E-2</c:v>
                </c:pt>
                <c:pt idx="2">
                  <c:v>0.110169148133527</c:v>
                </c:pt>
                <c:pt idx="3">
                  <c:v>0.15265405780600499</c:v>
                </c:pt>
                <c:pt idx="4">
                  <c:v>0.2</c:v>
                </c:pt>
                <c:pt idx="5">
                  <c:v>0.2</c:v>
                </c:pt>
                <c:pt idx="6">
                  <c:v>0.2</c:v>
                </c:pt>
                <c:pt idx="7">
                  <c:v>0.2</c:v>
                </c:pt>
                <c:pt idx="8">
                  <c:v>0.2</c:v>
                </c:pt>
                <c:pt idx="9">
                  <c:v>0.2</c:v>
                </c:pt>
                <c:pt idx="10">
                  <c:v>0.2</c:v>
                </c:pt>
                <c:pt idx="11">
                  <c:v>0.2</c:v>
                </c:pt>
                <c:pt idx="12">
                  <c:v>0.2</c:v>
                </c:pt>
                <c:pt idx="13">
                  <c:v>0.2</c:v>
                </c:pt>
                <c:pt idx="14">
                  <c:v>0.2</c:v>
                </c:pt>
                <c:pt idx="15">
                  <c:v>0.2</c:v>
                </c:pt>
                <c:pt idx="16">
                  <c:v>0.14857912398522199</c:v>
                </c:pt>
                <c:pt idx="17">
                  <c:v>0.114316269199704</c:v>
                </c:pt>
                <c:pt idx="18">
                  <c:v>9.0420305464886205E-2</c:v>
                </c:pt>
                <c:pt idx="19">
                  <c:v>2.5999999999999999E-2</c:v>
                </c:pt>
              </c:numCache>
            </c:numRef>
          </c:yVal>
          <c:smooth val="0"/>
        </c:ser>
        <c:ser>
          <c:idx val="1"/>
          <c:order val="1"/>
          <c:tx>
            <c:strRef>
              <c:f>'Random Vibe'!$C$28</c:f>
              <c:strCache>
                <c:ptCount val="1"/>
                <c:pt idx="0">
                  <c:v>TEMPO, Normal</c:v>
                </c:pt>
              </c:strCache>
            </c:strRef>
          </c:tx>
          <c:spPr>
            <a:ln w="25400" cap="rnd">
              <a:noFill/>
              <a:round/>
            </a:ln>
            <a:effectLst/>
          </c:spPr>
          <c:marker>
            <c:symbol val="circle"/>
            <c:size val="5"/>
            <c:spPr>
              <a:solidFill>
                <a:schemeClr val="accent2"/>
              </a:solidFill>
              <a:ln w="9525">
                <a:solidFill>
                  <a:schemeClr val="accent2"/>
                </a:solidFill>
              </a:ln>
              <a:effectLst/>
            </c:spPr>
          </c:marker>
          <c:xVal>
            <c:numRef>
              <c:f>'Random Vibe'!$A$29:$A$48</c:f>
              <c:numCache>
                <c:formatCode>General</c:formatCode>
                <c:ptCount val="20"/>
                <c:pt idx="0">
                  <c:v>20</c:v>
                </c:pt>
                <c:pt idx="1">
                  <c:v>30</c:v>
                </c:pt>
                <c:pt idx="2">
                  <c:v>40</c:v>
                </c:pt>
                <c:pt idx="3">
                  <c:v>50</c:v>
                </c:pt>
                <c:pt idx="4">
                  <c:v>60</c:v>
                </c:pt>
                <c:pt idx="5">
                  <c:v>70</c:v>
                </c:pt>
                <c:pt idx="6">
                  <c:v>80</c:v>
                </c:pt>
                <c:pt idx="7">
                  <c:v>90</c:v>
                </c:pt>
                <c:pt idx="8">
                  <c:v>100</c:v>
                </c:pt>
                <c:pt idx="9">
                  <c:v>200</c:v>
                </c:pt>
                <c:pt idx="10">
                  <c:v>300</c:v>
                </c:pt>
                <c:pt idx="11">
                  <c:v>400</c:v>
                </c:pt>
                <c:pt idx="12">
                  <c:v>450</c:v>
                </c:pt>
                <c:pt idx="13">
                  <c:v>500</c:v>
                </c:pt>
                <c:pt idx="14">
                  <c:v>600</c:v>
                </c:pt>
                <c:pt idx="15">
                  <c:v>700</c:v>
                </c:pt>
                <c:pt idx="16">
                  <c:v>800</c:v>
                </c:pt>
                <c:pt idx="17">
                  <c:v>900</c:v>
                </c:pt>
                <c:pt idx="18">
                  <c:v>1000</c:v>
                </c:pt>
                <c:pt idx="19">
                  <c:v>2000</c:v>
                </c:pt>
              </c:numCache>
            </c:numRef>
          </c:xVal>
          <c:yVal>
            <c:numRef>
              <c:f>'Random Vibe'!$C$29:$C$48</c:f>
              <c:numCache>
                <c:formatCode>General</c:formatCode>
                <c:ptCount val="20"/>
                <c:pt idx="0">
                  <c:v>0.04</c:v>
                </c:pt>
                <c:pt idx="4">
                  <c:v>0.2</c:v>
                </c:pt>
                <c:pt idx="9">
                  <c:v>0.2</c:v>
                </c:pt>
                <c:pt idx="19">
                  <c:v>2.5999999999999999E-2</c:v>
                </c:pt>
              </c:numCache>
            </c:numRef>
          </c:yVal>
          <c:smooth val="0"/>
        </c:ser>
        <c:ser>
          <c:idx val="2"/>
          <c:order val="2"/>
          <c:tx>
            <c:strRef>
              <c:f>'Random Vibe'!$D$28</c:f>
              <c:strCache>
                <c:ptCount val="1"/>
                <c:pt idx="0">
                  <c:v>TEMPO ICE</c:v>
                </c:pt>
              </c:strCache>
            </c:strRef>
          </c:tx>
          <c:spPr>
            <a:ln w="25400" cap="rnd">
              <a:noFill/>
              <a:round/>
            </a:ln>
            <a:effectLst/>
          </c:spPr>
          <c:marker>
            <c:symbol val="circle"/>
            <c:size val="5"/>
            <c:spPr>
              <a:solidFill>
                <a:schemeClr val="accent3"/>
              </a:solidFill>
              <a:ln w="9525">
                <a:solidFill>
                  <a:schemeClr val="accent3"/>
                </a:solidFill>
              </a:ln>
              <a:effectLst/>
            </c:spPr>
          </c:marker>
          <c:xVal>
            <c:numRef>
              <c:f>'Random Vibe'!$A$29:$A$48</c:f>
              <c:numCache>
                <c:formatCode>General</c:formatCode>
                <c:ptCount val="20"/>
                <c:pt idx="0">
                  <c:v>20</c:v>
                </c:pt>
                <c:pt idx="1">
                  <c:v>30</c:v>
                </c:pt>
                <c:pt idx="2">
                  <c:v>40</c:v>
                </c:pt>
                <c:pt idx="3">
                  <c:v>50</c:v>
                </c:pt>
                <c:pt idx="4">
                  <c:v>60</c:v>
                </c:pt>
                <c:pt idx="5">
                  <c:v>70</c:v>
                </c:pt>
                <c:pt idx="6">
                  <c:v>80</c:v>
                </c:pt>
                <c:pt idx="7">
                  <c:v>90</c:v>
                </c:pt>
                <c:pt idx="8">
                  <c:v>100</c:v>
                </c:pt>
                <c:pt idx="9">
                  <c:v>200</c:v>
                </c:pt>
                <c:pt idx="10">
                  <c:v>300</c:v>
                </c:pt>
                <c:pt idx="11">
                  <c:v>400</c:v>
                </c:pt>
                <c:pt idx="12">
                  <c:v>450</c:v>
                </c:pt>
                <c:pt idx="13">
                  <c:v>500</c:v>
                </c:pt>
                <c:pt idx="14">
                  <c:v>600</c:v>
                </c:pt>
                <c:pt idx="15">
                  <c:v>700</c:v>
                </c:pt>
                <c:pt idx="16">
                  <c:v>800</c:v>
                </c:pt>
                <c:pt idx="17">
                  <c:v>900</c:v>
                </c:pt>
                <c:pt idx="18">
                  <c:v>1000</c:v>
                </c:pt>
                <c:pt idx="19">
                  <c:v>2000</c:v>
                </c:pt>
              </c:numCache>
            </c:numRef>
          </c:xVal>
          <c:yVal>
            <c:numRef>
              <c:f>'Random Vibe'!$D$29:$D$48</c:f>
              <c:numCache>
                <c:formatCode>General</c:formatCode>
                <c:ptCount val="20"/>
                <c:pt idx="0">
                  <c:v>1.9E-2</c:v>
                </c:pt>
                <c:pt idx="4">
                  <c:v>0.5</c:v>
                </c:pt>
                <c:pt idx="12">
                  <c:v>0.5</c:v>
                </c:pt>
                <c:pt idx="19">
                  <c:v>2.5999999999999999E-2</c:v>
                </c:pt>
              </c:numCache>
            </c:numRef>
          </c:yVal>
          <c:smooth val="0"/>
        </c:ser>
        <c:dLbls>
          <c:showLegendKey val="0"/>
          <c:showVal val="0"/>
          <c:showCatName val="0"/>
          <c:showSerName val="0"/>
          <c:showPercent val="0"/>
          <c:showBubbleSize val="0"/>
        </c:dLbls>
        <c:axId val="139570776"/>
        <c:axId val="245588160"/>
      </c:scatterChart>
      <c:valAx>
        <c:axId val="139570776"/>
        <c:scaling>
          <c:logBase val="10"/>
          <c:orientation val="minMax"/>
          <c:max val="2000"/>
          <c:min val="1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160"/>
        <c:crosses val="autoZero"/>
        <c:crossBetween val="midCat"/>
      </c:valAx>
      <c:valAx>
        <c:axId val="24558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ASD (g2/Hz)</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707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Earth Directed</c:v>
          </c:tx>
          <c:spPr>
            <a:ln w="28575">
              <a:noFill/>
            </a:ln>
          </c:spPr>
          <c:marker>
            <c:symbol val="diamond"/>
            <c:size val="7"/>
            <c:spPr>
              <a:solidFill>
                <a:srgbClr val="00B0F0"/>
              </a:solidFill>
            </c:spPr>
          </c:marker>
          <c:dPt>
            <c:idx val="4"/>
            <c:marker>
              <c:spPr>
                <a:solidFill>
                  <a:srgbClr val="00B0F0"/>
                </a:solidFill>
                <a:ln>
                  <a:solidFill>
                    <a:srgbClr val="00B0F0"/>
                  </a:solidFill>
                </a:ln>
              </c:spPr>
            </c:marker>
            <c:bubble3D val="0"/>
          </c:dPt>
          <c:xVal>
            <c:numRef>
              <c:f>'Mass vs Cost '!$O$4:$O$105</c:f>
              <c:numCache>
                <c:formatCode>General</c:formatCode>
                <c:ptCount val="102"/>
                <c:pt idx="0">
                  <c:v>0</c:v>
                </c:pt>
                <c:pt idx="1">
                  <c:v>0</c:v>
                </c:pt>
                <c:pt idx="2">
                  <c:v>0</c:v>
                </c:pt>
                <c:pt idx="3">
                  <c:v>177.2</c:v>
                </c:pt>
                <c:pt idx="4">
                  <c:v>100</c:v>
                </c:pt>
                <c:pt idx="5">
                  <c:v>451</c:v>
                </c:pt>
                <c:pt idx="6">
                  <c:v>328.13</c:v>
                </c:pt>
                <c:pt idx="7">
                  <c:v>220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306.87</c:v>
                </c:pt>
                <c:pt idx="39">
                  <c:v>24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22.7</c:v>
                </c:pt>
                <c:pt idx="74">
                  <c:v>11.9</c:v>
                </c:pt>
                <c:pt idx="75">
                  <c:v>12.18</c:v>
                </c:pt>
                <c:pt idx="76">
                  <c:v>33.299999999999997</c:v>
                </c:pt>
                <c:pt idx="77">
                  <c:v>5.1659999999999746</c:v>
                </c:pt>
                <c:pt idx="78">
                  <c:v>24.5</c:v>
                </c:pt>
                <c:pt idx="79">
                  <c:v>18.399999999999999</c:v>
                </c:pt>
                <c:pt idx="80">
                  <c:v>17.16</c:v>
                </c:pt>
                <c:pt idx="81">
                  <c:v>15.7</c:v>
                </c:pt>
                <c:pt idx="82">
                  <c:v>0</c:v>
                </c:pt>
                <c:pt idx="83">
                  <c:v>0</c:v>
                </c:pt>
                <c:pt idx="84">
                  <c:v>0</c:v>
                </c:pt>
                <c:pt idx="85">
                  <c:v>0</c:v>
                </c:pt>
                <c:pt idx="86">
                  <c:v>0</c:v>
                </c:pt>
                <c:pt idx="87">
                  <c:v>0</c:v>
                </c:pt>
                <c:pt idx="88">
                  <c:v>0</c:v>
                </c:pt>
                <c:pt idx="89">
                  <c:v>0</c:v>
                </c:pt>
                <c:pt idx="90">
                  <c:v>148</c:v>
                </c:pt>
                <c:pt idx="91">
                  <c:v>228.6</c:v>
                </c:pt>
                <c:pt idx="92">
                  <c:v>0</c:v>
                </c:pt>
                <c:pt idx="93">
                  <c:v>0</c:v>
                </c:pt>
                <c:pt idx="94">
                  <c:v>0</c:v>
                </c:pt>
                <c:pt idx="95">
                  <c:v>0</c:v>
                </c:pt>
                <c:pt idx="96">
                  <c:v>0</c:v>
                </c:pt>
                <c:pt idx="97">
                  <c:v>0</c:v>
                </c:pt>
                <c:pt idx="98">
                  <c:v>0</c:v>
                </c:pt>
                <c:pt idx="99">
                  <c:v>0</c:v>
                </c:pt>
                <c:pt idx="100">
                  <c:v>0</c:v>
                </c:pt>
                <c:pt idx="101">
                  <c:v>0</c:v>
                </c:pt>
              </c:numCache>
            </c:numRef>
          </c:xVal>
          <c:yVal>
            <c:numRef>
              <c:f>'Mass vs Cost '!$P$4:$P$105</c:f>
              <c:numCache>
                <c:formatCode>"$"#,##0.00_);\("$"#,##0.00\)</c:formatCode>
                <c:ptCount val="102"/>
                <c:pt idx="0">
                  <c:v>0</c:v>
                </c:pt>
                <c:pt idx="1">
                  <c:v>0</c:v>
                </c:pt>
                <c:pt idx="2">
                  <c:v>0</c:v>
                </c:pt>
                <c:pt idx="3">
                  <c:v>320676</c:v>
                </c:pt>
                <c:pt idx="4">
                  <c:v>50001.06</c:v>
                </c:pt>
                <c:pt idx="5">
                  <c:v>166114</c:v>
                </c:pt>
                <c:pt idx="6">
                  <c:v>179480</c:v>
                </c:pt>
                <c:pt idx="7">
                  <c:v>84081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90266</c:v>
                </c:pt>
                <c:pt idx="39">
                  <c:v>19399</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24104</c:v>
                </c:pt>
                <c:pt idx="74">
                  <c:v>8562</c:v>
                </c:pt>
                <c:pt idx="75">
                  <c:v>10691</c:v>
                </c:pt>
                <c:pt idx="76">
                  <c:v>6420</c:v>
                </c:pt>
                <c:pt idx="77">
                  <c:v>4461.6000000000004</c:v>
                </c:pt>
                <c:pt idx="78">
                  <c:v>12792</c:v>
                </c:pt>
                <c:pt idx="79">
                  <c:v>6281.6</c:v>
                </c:pt>
                <c:pt idx="80">
                  <c:v>11267.1</c:v>
                </c:pt>
                <c:pt idx="81">
                  <c:v>13530</c:v>
                </c:pt>
                <c:pt idx="82">
                  <c:v>0</c:v>
                </c:pt>
                <c:pt idx="83">
                  <c:v>0</c:v>
                </c:pt>
                <c:pt idx="84">
                  <c:v>0</c:v>
                </c:pt>
                <c:pt idx="85">
                  <c:v>0</c:v>
                </c:pt>
                <c:pt idx="86">
                  <c:v>0</c:v>
                </c:pt>
                <c:pt idx="87">
                  <c:v>0</c:v>
                </c:pt>
                <c:pt idx="88">
                  <c:v>0</c:v>
                </c:pt>
                <c:pt idx="89">
                  <c:v>0</c:v>
                </c:pt>
                <c:pt idx="90">
                  <c:v>124730</c:v>
                </c:pt>
                <c:pt idx="91">
                  <c:v>276245</c:v>
                </c:pt>
                <c:pt idx="92">
                  <c:v>0</c:v>
                </c:pt>
                <c:pt idx="93">
                  <c:v>0</c:v>
                </c:pt>
                <c:pt idx="94">
                  <c:v>0</c:v>
                </c:pt>
                <c:pt idx="95">
                  <c:v>0</c:v>
                </c:pt>
                <c:pt idx="96">
                  <c:v>0</c:v>
                </c:pt>
                <c:pt idx="97">
                  <c:v>0</c:v>
                </c:pt>
                <c:pt idx="98">
                  <c:v>0</c:v>
                </c:pt>
                <c:pt idx="99">
                  <c:v>0</c:v>
                </c:pt>
                <c:pt idx="100">
                  <c:v>0</c:v>
                </c:pt>
                <c:pt idx="101">
                  <c:v>0</c:v>
                </c:pt>
              </c:numCache>
            </c:numRef>
          </c:yVal>
          <c:smooth val="0"/>
        </c:ser>
        <c:ser>
          <c:idx val="4"/>
          <c:order val="1"/>
          <c:tx>
            <c:v>Earth Competed</c:v>
          </c:tx>
          <c:spPr>
            <a:ln w="28575">
              <a:noFill/>
            </a:ln>
          </c:spPr>
          <c:marker>
            <c:symbol val="diamond"/>
            <c:size val="7"/>
            <c:spPr>
              <a:noFill/>
              <a:ln>
                <a:solidFill>
                  <a:srgbClr val="00B0F0"/>
                </a:solidFill>
              </a:ln>
            </c:spPr>
          </c:marker>
          <c:xVal>
            <c:numRef>
              <c:f>'Mass vs Cost '!$W$4:$W$105</c:f>
              <c:numCache>
                <c:formatCode>General</c:formatCode>
                <c:ptCount val="102"/>
                <c:pt idx="0">
                  <c:v>13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47.28</c:v>
                </c:pt>
                <c:pt idx="95">
                  <c:v>219.6</c:v>
                </c:pt>
                <c:pt idx="96">
                  <c:v>0</c:v>
                </c:pt>
                <c:pt idx="97">
                  <c:v>0</c:v>
                </c:pt>
                <c:pt idx="98">
                  <c:v>0</c:v>
                </c:pt>
                <c:pt idx="99">
                  <c:v>0</c:v>
                </c:pt>
                <c:pt idx="100">
                  <c:v>283</c:v>
                </c:pt>
                <c:pt idx="101">
                  <c:v>0</c:v>
                </c:pt>
              </c:numCache>
            </c:numRef>
          </c:xVal>
          <c:yVal>
            <c:numRef>
              <c:f>'Mass vs Cost '!$X$4:$X$105</c:f>
              <c:numCache>
                <c:formatCode>"$"#,##0.00_);\("$"#,##0.00\)</c:formatCode>
                <c:ptCount val="102"/>
                <c:pt idx="0">
                  <c:v>5670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30968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34413</c:v>
                </c:pt>
                <c:pt idx="95">
                  <c:v>98363</c:v>
                </c:pt>
                <c:pt idx="96">
                  <c:v>0</c:v>
                </c:pt>
                <c:pt idx="97">
                  <c:v>0</c:v>
                </c:pt>
                <c:pt idx="98">
                  <c:v>0</c:v>
                </c:pt>
                <c:pt idx="99">
                  <c:v>0</c:v>
                </c:pt>
                <c:pt idx="100">
                  <c:v>101152.7</c:v>
                </c:pt>
                <c:pt idx="101">
                  <c:v>0</c:v>
                </c:pt>
              </c:numCache>
            </c:numRef>
          </c:yVal>
          <c:smooth val="0"/>
        </c:ser>
        <c:ser>
          <c:idx val="1"/>
          <c:order val="2"/>
          <c:tx>
            <c:v>Planetary Directed</c:v>
          </c:tx>
          <c:spPr>
            <a:ln w="28575">
              <a:noFill/>
            </a:ln>
          </c:spPr>
          <c:marker>
            <c:spPr>
              <a:solidFill>
                <a:srgbClr val="00B050"/>
              </a:solidFill>
              <a:ln>
                <a:solidFill>
                  <a:srgbClr val="00B050"/>
                </a:solidFill>
              </a:ln>
            </c:spPr>
          </c:marker>
          <c:xVal>
            <c:numRef>
              <c:f>'Mass vs Cost '!$Q$4:$Q$105</c:f>
              <c:numCache>
                <c:formatCode>General</c:formatCode>
                <c:ptCount val="102"/>
                <c:pt idx="0">
                  <c:v>0</c:v>
                </c:pt>
                <c:pt idx="1">
                  <c:v>0</c:v>
                </c:pt>
                <c:pt idx="2">
                  <c:v>0</c:v>
                </c:pt>
                <c:pt idx="3">
                  <c:v>0</c:v>
                </c:pt>
                <c:pt idx="4">
                  <c:v>0</c:v>
                </c:pt>
                <c:pt idx="5">
                  <c:v>0</c:v>
                </c:pt>
                <c:pt idx="6">
                  <c:v>0</c:v>
                </c:pt>
                <c:pt idx="7">
                  <c:v>0</c:v>
                </c:pt>
                <c:pt idx="8">
                  <c:v>23.03</c:v>
                </c:pt>
                <c:pt idx="9">
                  <c:v>155.75</c:v>
                </c:pt>
                <c:pt idx="10">
                  <c:v>39.240000000000009</c:v>
                </c:pt>
                <c:pt idx="11">
                  <c:v>10.3</c:v>
                </c:pt>
                <c:pt idx="12">
                  <c:v>57.7</c:v>
                </c:pt>
                <c:pt idx="13">
                  <c:v>16</c:v>
                </c:pt>
                <c:pt idx="14">
                  <c:v>37.675000000000011</c:v>
                </c:pt>
                <c:pt idx="15">
                  <c:v>37.1</c:v>
                </c:pt>
                <c:pt idx="16">
                  <c:v>0</c:v>
                </c:pt>
                <c:pt idx="17">
                  <c:v>0</c:v>
                </c:pt>
                <c:pt idx="18">
                  <c:v>0</c:v>
                </c:pt>
                <c:pt idx="19">
                  <c:v>0</c:v>
                </c:pt>
                <c:pt idx="20">
                  <c:v>0</c:v>
                </c:pt>
                <c:pt idx="21">
                  <c:v>0</c:v>
                </c:pt>
                <c:pt idx="22">
                  <c:v>0</c:v>
                </c:pt>
                <c:pt idx="23">
                  <c:v>0</c:v>
                </c:pt>
                <c:pt idx="24">
                  <c:v>0</c:v>
                </c:pt>
                <c:pt idx="25">
                  <c:v>10.471</c:v>
                </c:pt>
                <c:pt idx="26">
                  <c:v>7.2</c:v>
                </c:pt>
                <c:pt idx="27">
                  <c:v>18.130000000000031</c:v>
                </c:pt>
                <c:pt idx="28">
                  <c:v>13.2</c:v>
                </c:pt>
                <c:pt idx="29">
                  <c:v>5.2089999999999996</c:v>
                </c:pt>
                <c:pt idx="30">
                  <c:v>7.1379999999999946</c:v>
                </c:pt>
                <c:pt idx="31">
                  <c:v>27.95</c:v>
                </c:pt>
                <c:pt idx="32">
                  <c:v>5.1769999999999996</c:v>
                </c:pt>
                <c:pt idx="33">
                  <c:v>0</c:v>
                </c:pt>
                <c:pt idx="34">
                  <c:v>0</c:v>
                </c:pt>
                <c:pt idx="35">
                  <c:v>0</c:v>
                </c:pt>
                <c:pt idx="36">
                  <c:v>0</c:v>
                </c:pt>
                <c:pt idx="37">
                  <c:v>0</c:v>
                </c:pt>
                <c:pt idx="38">
                  <c:v>0</c:v>
                </c:pt>
                <c:pt idx="39">
                  <c:v>0</c:v>
                </c:pt>
                <c:pt idx="40">
                  <c:v>12.58</c:v>
                </c:pt>
                <c:pt idx="41">
                  <c:v>11.9</c:v>
                </c:pt>
                <c:pt idx="42">
                  <c:v>260.25</c:v>
                </c:pt>
                <c:pt idx="43">
                  <c:v>18.044</c:v>
                </c:pt>
                <c:pt idx="44">
                  <c:v>5.2</c:v>
                </c:pt>
                <c:pt idx="45">
                  <c:v>26</c:v>
                </c:pt>
                <c:pt idx="46">
                  <c:v>23.6</c:v>
                </c:pt>
                <c:pt idx="47">
                  <c:v>24.79</c:v>
                </c:pt>
                <c:pt idx="48">
                  <c:v>44.06636363636364</c:v>
                </c:pt>
                <c:pt idx="49">
                  <c:v>14.35909090909097</c:v>
                </c:pt>
                <c:pt idx="50">
                  <c:v>30.5</c:v>
                </c:pt>
                <c:pt idx="51">
                  <c:v>3.3094329896906971</c:v>
                </c:pt>
                <c:pt idx="52">
                  <c:v>13</c:v>
                </c:pt>
                <c:pt idx="53">
                  <c:v>33.1</c:v>
                </c:pt>
                <c:pt idx="54">
                  <c:v>3.37</c:v>
                </c:pt>
                <c:pt idx="55">
                  <c:v>65.100000000000009</c:v>
                </c:pt>
                <c:pt idx="56">
                  <c:v>1.04</c:v>
                </c:pt>
                <c:pt idx="57">
                  <c:v>8.98</c:v>
                </c:pt>
                <c:pt idx="58">
                  <c:v>2.8499999999999992</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Cost '!$R$4:$R$105</c:f>
              <c:numCache>
                <c:formatCode>"$"#,##0.00_);\("$"#,##0.00\)</c:formatCode>
                <c:ptCount val="102"/>
                <c:pt idx="0">
                  <c:v>0</c:v>
                </c:pt>
                <c:pt idx="1">
                  <c:v>0</c:v>
                </c:pt>
                <c:pt idx="2">
                  <c:v>0</c:v>
                </c:pt>
                <c:pt idx="3">
                  <c:v>0</c:v>
                </c:pt>
                <c:pt idx="4">
                  <c:v>0</c:v>
                </c:pt>
                <c:pt idx="5">
                  <c:v>0</c:v>
                </c:pt>
                <c:pt idx="6">
                  <c:v>0</c:v>
                </c:pt>
                <c:pt idx="7">
                  <c:v>0</c:v>
                </c:pt>
                <c:pt idx="8">
                  <c:v>25000</c:v>
                </c:pt>
                <c:pt idx="9">
                  <c:v>104437</c:v>
                </c:pt>
                <c:pt idx="10">
                  <c:v>44962</c:v>
                </c:pt>
                <c:pt idx="11">
                  <c:v>19938</c:v>
                </c:pt>
                <c:pt idx="12">
                  <c:v>65370</c:v>
                </c:pt>
                <c:pt idx="13">
                  <c:v>26486</c:v>
                </c:pt>
                <c:pt idx="14">
                  <c:v>20576</c:v>
                </c:pt>
                <c:pt idx="15">
                  <c:v>38356</c:v>
                </c:pt>
                <c:pt idx="16">
                  <c:v>0</c:v>
                </c:pt>
                <c:pt idx="17">
                  <c:v>0</c:v>
                </c:pt>
                <c:pt idx="18">
                  <c:v>0</c:v>
                </c:pt>
                <c:pt idx="19">
                  <c:v>0</c:v>
                </c:pt>
                <c:pt idx="20">
                  <c:v>0</c:v>
                </c:pt>
                <c:pt idx="21">
                  <c:v>0</c:v>
                </c:pt>
                <c:pt idx="22">
                  <c:v>0</c:v>
                </c:pt>
                <c:pt idx="23">
                  <c:v>0</c:v>
                </c:pt>
                <c:pt idx="24">
                  <c:v>0</c:v>
                </c:pt>
                <c:pt idx="25">
                  <c:v>20183</c:v>
                </c:pt>
                <c:pt idx="26">
                  <c:v>9570</c:v>
                </c:pt>
                <c:pt idx="27">
                  <c:v>39750</c:v>
                </c:pt>
                <c:pt idx="28">
                  <c:v>15413</c:v>
                </c:pt>
                <c:pt idx="29">
                  <c:v>16652.5</c:v>
                </c:pt>
                <c:pt idx="30">
                  <c:v>9064.5</c:v>
                </c:pt>
                <c:pt idx="31">
                  <c:v>48740</c:v>
                </c:pt>
                <c:pt idx="32">
                  <c:v>9712</c:v>
                </c:pt>
                <c:pt idx="33">
                  <c:v>0</c:v>
                </c:pt>
                <c:pt idx="34">
                  <c:v>0</c:v>
                </c:pt>
                <c:pt idx="35">
                  <c:v>0</c:v>
                </c:pt>
                <c:pt idx="36">
                  <c:v>0</c:v>
                </c:pt>
                <c:pt idx="37">
                  <c:v>0</c:v>
                </c:pt>
                <c:pt idx="38">
                  <c:v>0</c:v>
                </c:pt>
                <c:pt idx="39">
                  <c:v>0</c:v>
                </c:pt>
                <c:pt idx="40">
                  <c:v>27109.780000000021</c:v>
                </c:pt>
                <c:pt idx="41">
                  <c:v>13773</c:v>
                </c:pt>
                <c:pt idx="42">
                  <c:v>210587</c:v>
                </c:pt>
                <c:pt idx="43">
                  <c:v>34527</c:v>
                </c:pt>
                <c:pt idx="44">
                  <c:v>0</c:v>
                </c:pt>
                <c:pt idx="45">
                  <c:v>48023</c:v>
                </c:pt>
                <c:pt idx="46">
                  <c:v>32041</c:v>
                </c:pt>
                <c:pt idx="47">
                  <c:v>35720</c:v>
                </c:pt>
                <c:pt idx="48">
                  <c:v>48839.3</c:v>
                </c:pt>
                <c:pt idx="49">
                  <c:v>33691</c:v>
                </c:pt>
                <c:pt idx="50">
                  <c:v>30347.7</c:v>
                </c:pt>
                <c:pt idx="51">
                  <c:v>3696</c:v>
                </c:pt>
                <c:pt idx="52">
                  <c:v>16940.03</c:v>
                </c:pt>
                <c:pt idx="53">
                  <c:v>30614.53</c:v>
                </c:pt>
                <c:pt idx="54">
                  <c:v>5686.27</c:v>
                </c:pt>
                <c:pt idx="55">
                  <c:v>49843.199999999997</c:v>
                </c:pt>
                <c:pt idx="56">
                  <c:v>3427</c:v>
                </c:pt>
                <c:pt idx="57">
                  <c:v>14009.34</c:v>
                </c:pt>
                <c:pt idx="58">
                  <c:v>5660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5"/>
          <c:order val="3"/>
          <c:tx>
            <c:v>Planetary Competed</c:v>
          </c:tx>
          <c:spPr>
            <a:ln w="28575">
              <a:noFill/>
            </a:ln>
          </c:spPr>
          <c:marker>
            <c:symbol val="square"/>
            <c:size val="7"/>
            <c:spPr>
              <a:noFill/>
              <a:ln>
                <a:solidFill>
                  <a:srgbClr val="00B050"/>
                </a:solidFill>
              </a:ln>
            </c:spPr>
          </c:marker>
          <c:xVal>
            <c:numRef>
              <c:f>'Mass vs Cost '!$Y$4:$Y$105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10.5</c:v>
                </c:pt>
                <c:pt idx="19">
                  <c:v>52.48</c:v>
                </c:pt>
                <c:pt idx="20">
                  <c:v>17.899999999999999</c:v>
                </c:pt>
                <c:pt idx="21">
                  <c:v>19.399999999999999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3.4</c:v>
                </c:pt>
                <c:pt idx="60">
                  <c:v>12.7</c:v>
                </c:pt>
                <c:pt idx="61">
                  <c:v>3.58</c:v>
                </c:pt>
                <c:pt idx="62">
                  <c:v>3.1</c:v>
                </c:pt>
                <c:pt idx="63">
                  <c:v>11.03</c:v>
                </c:pt>
                <c:pt idx="64">
                  <c:v>7.4</c:v>
                </c:pt>
                <c:pt idx="65">
                  <c:v>6.6</c:v>
                </c:pt>
                <c:pt idx="66">
                  <c:v>1.5920000000000001</c:v>
                </c:pt>
                <c:pt idx="67">
                  <c:v>10.7</c:v>
                </c:pt>
                <c:pt idx="68">
                  <c:v>15.6</c:v>
                </c:pt>
                <c:pt idx="69">
                  <c:v>8.6</c:v>
                </c:pt>
                <c:pt idx="70">
                  <c:v>3.29</c:v>
                </c:pt>
                <c:pt idx="71">
                  <c:v>12.96600000000001</c:v>
                </c:pt>
                <c:pt idx="72">
                  <c:v>5.4649999999999874</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Cost '!$Z$4:$Z$105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12000</c:v>
                </c:pt>
                <c:pt idx="19">
                  <c:v>23881</c:v>
                </c:pt>
                <c:pt idx="20">
                  <c:v>13338</c:v>
                </c:pt>
                <c:pt idx="21">
                  <c:v>17177.5999999999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10867.43</c:v>
                </c:pt>
                <c:pt idx="60">
                  <c:v>13580.66</c:v>
                </c:pt>
                <c:pt idx="61">
                  <c:v>4242.54</c:v>
                </c:pt>
                <c:pt idx="62">
                  <c:v>6223</c:v>
                </c:pt>
                <c:pt idx="63">
                  <c:v>17484.79</c:v>
                </c:pt>
                <c:pt idx="64">
                  <c:v>12039</c:v>
                </c:pt>
                <c:pt idx="65">
                  <c:v>8132.3200000000024</c:v>
                </c:pt>
                <c:pt idx="66">
                  <c:v>4700.75</c:v>
                </c:pt>
                <c:pt idx="67">
                  <c:v>8242</c:v>
                </c:pt>
                <c:pt idx="68">
                  <c:v>6822</c:v>
                </c:pt>
                <c:pt idx="69">
                  <c:v>10265.92</c:v>
                </c:pt>
                <c:pt idx="70">
                  <c:v>6238</c:v>
                </c:pt>
                <c:pt idx="71">
                  <c:v>10460</c:v>
                </c:pt>
                <c:pt idx="72">
                  <c:v>5130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2"/>
          <c:order val="4"/>
          <c:tx>
            <c:v>Helio Directed</c:v>
          </c:tx>
          <c:spPr>
            <a:ln w="28575">
              <a:noFill/>
            </a:ln>
          </c:spPr>
          <c:marker>
            <c:symbol val="circle"/>
            <c:size val="7"/>
            <c:spPr>
              <a:solidFill>
                <a:srgbClr val="FFC000"/>
              </a:solidFill>
              <a:ln>
                <a:solidFill>
                  <a:srgbClr val="FFC000"/>
                </a:solidFill>
              </a:ln>
            </c:spPr>
          </c:marker>
          <c:xVal>
            <c:numRef>
              <c:f>'Mass vs Cost '!$S$4:$S$105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13.5</c:v>
                </c:pt>
                <c:pt idx="90">
                  <c:v>0</c:v>
                </c:pt>
                <c:pt idx="91">
                  <c:v>0</c:v>
                </c:pt>
                <c:pt idx="92">
                  <c:v>0</c:v>
                </c:pt>
                <c:pt idx="93">
                  <c:v>0</c:v>
                </c:pt>
                <c:pt idx="94">
                  <c:v>0</c:v>
                </c:pt>
                <c:pt idx="95">
                  <c:v>0</c:v>
                </c:pt>
                <c:pt idx="96">
                  <c:v>5.8</c:v>
                </c:pt>
                <c:pt idx="97">
                  <c:v>5.5839999999999996</c:v>
                </c:pt>
                <c:pt idx="98">
                  <c:v>6.7</c:v>
                </c:pt>
                <c:pt idx="99">
                  <c:v>7.4</c:v>
                </c:pt>
                <c:pt idx="100">
                  <c:v>0</c:v>
                </c:pt>
                <c:pt idx="101">
                  <c:v>0</c:v>
                </c:pt>
              </c:numCache>
            </c:numRef>
          </c:xVal>
          <c:yVal>
            <c:numRef>
              <c:f>'Mass vs Cost '!$T$4:$T$105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12168</c:v>
                </c:pt>
                <c:pt idx="90">
                  <c:v>0</c:v>
                </c:pt>
                <c:pt idx="91">
                  <c:v>0</c:v>
                </c:pt>
                <c:pt idx="92">
                  <c:v>0</c:v>
                </c:pt>
                <c:pt idx="93">
                  <c:v>0</c:v>
                </c:pt>
                <c:pt idx="94">
                  <c:v>0</c:v>
                </c:pt>
                <c:pt idx="95">
                  <c:v>0</c:v>
                </c:pt>
                <c:pt idx="96">
                  <c:v>14321</c:v>
                </c:pt>
                <c:pt idx="97">
                  <c:v>8320</c:v>
                </c:pt>
                <c:pt idx="98">
                  <c:v>0</c:v>
                </c:pt>
                <c:pt idx="99">
                  <c:v>18484</c:v>
                </c:pt>
                <c:pt idx="100">
                  <c:v>0</c:v>
                </c:pt>
                <c:pt idx="101">
                  <c:v>0</c:v>
                </c:pt>
              </c:numCache>
            </c:numRef>
          </c:yVal>
          <c:smooth val="0"/>
        </c:ser>
        <c:ser>
          <c:idx val="6"/>
          <c:order val="5"/>
          <c:tx>
            <c:v>Helio Competed</c:v>
          </c:tx>
          <c:spPr>
            <a:ln w="28575">
              <a:noFill/>
            </a:ln>
          </c:spPr>
          <c:marker>
            <c:symbol val="circle"/>
            <c:size val="7"/>
            <c:spPr>
              <a:noFill/>
              <a:ln>
                <a:solidFill>
                  <a:srgbClr val="FFC000"/>
                </a:solidFill>
              </a:ln>
            </c:spPr>
          </c:marker>
          <c:xVal>
            <c:numRef>
              <c:f>'Mass vs Cost '!$AA$4:$AA$105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12.2</c:v>
                </c:pt>
                <c:pt idx="93">
                  <c:v>0</c:v>
                </c:pt>
                <c:pt idx="94">
                  <c:v>0</c:v>
                </c:pt>
                <c:pt idx="95">
                  <c:v>0</c:v>
                </c:pt>
                <c:pt idx="96">
                  <c:v>0</c:v>
                </c:pt>
                <c:pt idx="97">
                  <c:v>0</c:v>
                </c:pt>
                <c:pt idx="98">
                  <c:v>0</c:v>
                </c:pt>
                <c:pt idx="99">
                  <c:v>0</c:v>
                </c:pt>
                <c:pt idx="100">
                  <c:v>0</c:v>
                </c:pt>
                <c:pt idx="101">
                  <c:v>2.6</c:v>
                </c:pt>
              </c:numCache>
            </c:numRef>
          </c:xVal>
          <c:yVal>
            <c:numRef>
              <c:f>'Mass vs Cost '!$AB$4:$AB$105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1204.6099999999999</c:v>
                </c:pt>
                <c:pt idx="89">
                  <c:v>0</c:v>
                </c:pt>
                <c:pt idx="90">
                  <c:v>0</c:v>
                </c:pt>
                <c:pt idx="91">
                  <c:v>0</c:v>
                </c:pt>
                <c:pt idx="92">
                  <c:v>6140</c:v>
                </c:pt>
                <c:pt idx="93">
                  <c:v>0</c:v>
                </c:pt>
                <c:pt idx="94">
                  <c:v>0</c:v>
                </c:pt>
                <c:pt idx="95">
                  <c:v>0</c:v>
                </c:pt>
                <c:pt idx="96">
                  <c:v>0</c:v>
                </c:pt>
                <c:pt idx="97">
                  <c:v>0</c:v>
                </c:pt>
                <c:pt idx="98">
                  <c:v>0</c:v>
                </c:pt>
                <c:pt idx="99">
                  <c:v>0</c:v>
                </c:pt>
                <c:pt idx="100">
                  <c:v>0</c:v>
                </c:pt>
                <c:pt idx="101">
                  <c:v>2893</c:v>
                </c:pt>
              </c:numCache>
            </c:numRef>
          </c:yVal>
          <c:smooth val="0"/>
        </c:ser>
        <c:ser>
          <c:idx val="3"/>
          <c:order val="6"/>
          <c:tx>
            <c:v>Astro Directed</c:v>
          </c:tx>
          <c:spPr>
            <a:ln w="28575">
              <a:noFill/>
            </a:ln>
          </c:spPr>
          <c:marker>
            <c:symbol val="triangle"/>
            <c:size val="7"/>
            <c:spPr>
              <a:solidFill>
                <a:srgbClr val="7030A0"/>
              </a:solidFill>
              <a:ln>
                <a:solidFill>
                  <a:srgbClr val="7030A0"/>
                </a:solidFill>
              </a:ln>
            </c:spPr>
          </c:marker>
          <c:xVal>
            <c:numRef>
              <c:f>'Mass vs Cost '!$U$4:$U$105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108.2</c:v>
                </c:pt>
                <c:pt idx="17">
                  <c:v>8.2299999999999986</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292</c:v>
                </c:pt>
                <c:pt idx="37">
                  <c:v>281.2</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273</c:v>
                </c:pt>
                <c:pt idx="84">
                  <c:v>373.6</c:v>
                </c:pt>
                <c:pt idx="85">
                  <c:v>29.064</c:v>
                </c:pt>
                <c:pt idx="86">
                  <c:v>39.5</c:v>
                </c:pt>
                <c:pt idx="87">
                  <c:v>33.336000000000013</c:v>
                </c:pt>
                <c:pt idx="88">
                  <c:v>0</c:v>
                </c:pt>
                <c:pt idx="89">
                  <c:v>0</c:v>
                </c:pt>
                <c:pt idx="90">
                  <c:v>0</c:v>
                </c:pt>
                <c:pt idx="91">
                  <c:v>0</c:v>
                </c:pt>
                <c:pt idx="92">
                  <c:v>0</c:v>
                </c:pt>
                <c:pt idx="93">
                  <c:v>341.3</c:v>
                </c:pt>
                <c:pt idx="94">
                  <c:v>0</c:v>
                </c:pt>
                <c:pt idx="95">
                  <c:v>0</c:v>
                </c:pt>
                <c:pt idx="96">
                  <c:v>0</c:v>
                </c:pt>
                <c:pt idx="97">
                  <c:v>0</c:v>
                </c:pt>
                <c:pt idx="98">
                  <c:v>0</c:v>
                </c:pt>
                <c:pt idx="99">
                  <c:v>0</c:v>
                </c:pt>
                <c:pt idx="100">
                  <c:v>0</c:v>
                </c:pt>
                <c:pt idx="101">
                  <c:v>0</c:v>
                </c:pt>
              </c:numCache>
            </c:numRef>
          </c:xVal>
          <c:yVal>
            <c:numRef>
              <c:f>'Mass vs Cost '!$V$4:$V$105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94261</c:v>
                </c:pt>
                <c:pt idx="17">
                  <c:v>22597</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159360</c:v>
                </c:pt>
                <c:pt idx="37">
                  <c:v>156860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100504</c:v>
                </c:pt>
                <c:pt idx="84">
                  <c:v>112408</c:v>
                </c:pt>
                <c:pt idx="85">
                  <c:v>37762.36</c:v>
                </c:pt>
                <c:pt idx="86">
                  <c:v>41406</c:v>
                </c:pt>
                <c:pt idx="87">
                  <c:v>44685.77</c:v>
                </c:pt>
                <c:pt idx="88">
                  <c:v>0</c:v>
                </c:pt>
                <c:pt idx="89">
                  <c:v>0</c:v>
                </c:pt>
                <c:pt idx="90">
                  <c:v>0</c:v>
                </c:pt>
                <c:pt idx="91">
                  <c:v>0</c:v>
                </c:pt>
                <c:pt idx="92">
                  <c:v>0</c:v>
                </c:pt>
                <c:pt idx="93">
                  <c:v>129901</c:v>
                </c:pt>
                <c:pt idx="94">
                  <c:v>0</c:v>
                </c:pt>
                <c:pt idx="95">
                  <c:v>0</c:v>
                </c:pt>
                <c:pt idx="96">
                  <c:v>0</c:v>
                </c:pt>
                <c:pt idx="97">
                  <c:v>0</c:v>
                </c:pt>
                <c:pt idx="98">
                  <c:v>0</c:v>
                </c:pt>
                <c:pt idx="99">
                  <c:v>0</c:v>
                </c:pt>
                <c:pt idx="100">
                  <c:v>0</c:v>
                </c:pt>
                <c:pt idx="101">
                  <c:v>0</c:v>
                </c:pt>
              </c:numCache>
            </c:numRef>
          </c:yVal>
          <c:smooth val="0"/>
        </c:ser>
        <c:ser>
          <c:idx val="7"/>
          <c:order val="7"/>
          <c:tx>
            <c:v>Astro Competed</c:v>
          </c:tx>
          <c:spPr>
            <a:ln w="28575">
              <a:noFill/>
            </a:ln>
          </c:spPr>
          <c:marker>
            <c:symbol val="triangle"/>
            <c:size val="7"/>
            <c:spPr>
              <a:noFill/>
              <a:ln>
                <a:solidFill>
                  <a:srgbClr val="7030A0"/>
                </a:solidFill>
              </a:ln>
            </c:spPr>
          </c:marker>
          <c:xVal>
            <c:numRef>
              <c:f>'Mass vs Cost '!$AC$4:$AC$5</c:f>
              <c:numCache>
                <c:formatCode>General</c:formatCode>
                <c:ptCount val="2"/>
                <c:pt idx="0">
                  <c:v>0</c:v>
                </c:pt>
                <c:pt idx="1">
                  <c:v>0</c:v>
                </c:pt>
              </c:numCache>
            </c:numRef>
          </c:xVal>
          <c:yVal>
            <c:numRef>
              <c:f>'Mass vs Cost '!$AD$4:$AD$105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23662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dLbls>
          <c:showLegendKey val="0"/>
          <c:showVal val="0"/>
          <c:showCatName val="0"/>
          <c:showSerName val="0"/>
          <c:showPercent val="0"/>
          <c:showBubbleSize val="0"/>
        </c:dLbls>
        <c:axId val="245588944"/>
        <c:axId val="245589336"/>
      </c:scatterChart>
      <c:valAx>
        <c:axId val="245588944"/>
        <c:scaling>
          <c:logBase val="10"/>
          <c:orientation val="minMax"/>
          <c:max val="1000"/>
          <c:min val="0.1"/>
        </c:scaling>
        <c:delete val="0"/>
        <c:axPos val="b"/>
        <c:majorGridlines/>
        <c:minorGridlines/>
        <c:title>
          <c:tx>
            <c:rich>
              <a:bodyPr/>
              <a:lstStyle/>
              <a:p>
                <a:pPr>
                  <a:defRPr/>
                </a:pPr>
                <a:r>
                  <a:rPr lang="en-US"/>
                  <a:t>Instrument Mass (kg)</a:t>
                </a:r>
              </a:p>
            </c:rich>
          </c:tx>
          <c:overlay val="0"/>
        </c:title>
        <c:numFmt formatCode="General" sourceLinked="1"/>
        <c:majorTickMark val="out"/>
        <c:minorTickMark val="none"/>
        <c:tickLblPos val="nextTo"/>
        <c:crossAx val="245589336"/>
        <c:crosses val="autoZero"/>
        <c:crossBetween val="midCat"/>
      </c:valAx>
      <c:valAx>
        <c:axId val="245589336"/>
        <c:scaling>
          <c:logBase val="10"/>
          <c:orientation val="minMax"/>
          <c:min val="1000"/>
        </c:scaling>
        <c:delete val="0"/>
        <c:axPos val="l"/>
        <c:majorGridlines/>
        <c:minorGridlines/>
        <c:title>
          <c:tx>
            <c:rich>
              <a:bodyPr rot="-5400000" vert="horz"/>
              <a:lstStyle/>
              <a:p>
                <a:pPr>
                  <a:defRPr/>
                </a:pPr>
                <a:r>
                  <a:rPr lang="en-US"/>
                  <a:t>Total Development Cost ($M FY04)</a:t>
                </a:r>
              </a:p>
            </c:rich>
          </c:tx>
          <c:overlay val="0"/>
        </c:title>
        <c:numFmt formatCode="#,##0" sourceLinked="0"/>
        <c:majorTickMark val="out"/>
        <c:minorTickMark val="none"/>
        <c:tickLblPos val="nextTo"/>
        <c:crossAx val="245588944"/>
        <c:crossesAt val="0.1"/>
        <c:crossBetween val="midCat"/>
        <c:dispUnits>
          <c:builtInUnit val="thousands"/>
        </c:dispUnits>
      </c:valAx>
    </c:plotArea>
    <c:legend>
      <c:legendPos val="r"/>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Earth Directed</c:v>
          </c:tx>
          <c:spPr>
            <a:ln w="28575">
              <a:noFill/>
            </a:ln>
          </c:spPr>
          <c:marker>
            <c:symbol val="diamond"/>
            <c:size val="7"/>
            <c:spPr>
              <a:solidFill>
                <a:srgbClr val="00B0F0"/>
              </a:solidFill>
            </c:spPr>
          </c:marker>
          <c:dPt>
            <c:idx val="4"/>
            <c:marker>
              <c:spPr>
                <a:solidFill>
                  <a:srgbClr val="00B0F0"/>
                </a:solidFill>
                <a:ln>
                  <a:solidFill>
                    <a:srgbClr val="00B0F0"/>
                  </a:solidFill>
                </a:ln>
              </c:spPr>
            </c:marker>
            <c:bubble3D val="0"/>
          </c:dPt>
          <c:xVal>
            <c:numRef>
              <c:f>'Mass vs Power'!$O$4:$O$105</c:f>
              <c:numCache>
                <c:formatCode>General</c:formatCode>
                <c:ptCount val="102"/>
                <c:pt idx="0">
                  <c:v>0</c:v>
                </c:pt>
                <c:pt idx="1">
                  <c:v>0</c:v>
                </c:pt>
                <c:pt idx="2">
                  <c:v>0</c:v>
                </c:pt>
                <c:pt idx="3">
                  <c:v>177.2</c:v>
                </c:pt>
                <c:pt idx="4">
                  <c:v>100</c:v>
                </c:pt>
                <c:pt idx="5">
                  <c:v>451</c:v>
                </c:pt>
                <c:pt idx="6">
                  <c:v>328.13</c:v>
                </c:pt>
                <c:pt idx="7">
                  <c:v>220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306.87</c:v>
                </c:pt>
                <c:pt idx="39">
                  <c:v>24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22.7</c:v>
                </c:pt>
                <c:pt idx="74">
                  <c:v>11.9</c:v>
                </c:pt>
                <c:pt idx="75">
                  <c:v>12.18</c:v>
                </c:pt>
                <c:pt idx="76">
                  <c:v>33.299999999999997</c:v>
                </c:pt>
                <c:pt idx="77">
                  <c:v>5.1659999999999746</c:v>
                </c:pt>
                <c:pt idx="78">
                  <c:v>24.5</c:v>
                </c:pt>
                <c:pt idx="79">
                  <c:v>18.399999999999999</c:v>
                </c:pt>
                <c:pt idx="80">
                  <c:v>17.16</c:v>
                </c:pt>
                <c:pt idx="81">
                  <c:v>15.7</c:v>
                </c:pt>
                <c:pt idx="82">
                  <c:v>0</c:v>
                </c:pt>
                <c:pt idx="83">
                  <c:v>0</c:v>
                </c:pt>
                <c:pt idx="84">
                  <c:v>0</c:v>
                </c:pt>
                <c:pt idx="85">
                  <c:v>0</c:v>
                </c:pt>
                <c:pt idx="86">
                  <c:v>0</c:v>
                </c:pt>
                <c:pt idx="87">
                  <c:v>0</c:v>
                </c:pt>
                <c:pt idx="88">
                  <c:v>0</c:v>
                </c:pt>
                <c:pt idx="89">
                  <c:v>0</c:v>
                </c:pt>
                <c:pt idx="90">
                  <c:v>148</c:v>
                </c:pt>
                <c:pt idx="91">
                  <c:v>228.6</c:v>
                </c:pt>
                <c:pt idx="92">
                  <c:v>0</c:v>
                </c:pt>
                <c:pt idx="93">
                  <c:v>0</c:v>
                </c:pt>
                <c:pt idx="94">
                  <c:v>0</c:v>
                </c:pt>
                <c:pt idx="95">
                  <c:v>0</c:v>
                </c:pt>
                <c:pt idx="96">
                  <c:v>0</c:v>
                </c:pt>
                <c:pt idx="97">
                  <c:v>0</c:v>
                </c:pt>
                <c:pt idx="98">
                  <c:v>0</c:v>
                </c:pt>
                <c:pt idx="99">
                  <c:v>0</c:v>
                </c:pt>
                <c:pt idx="100">
                  <c:v>0</c:v>
                </c:pt>
                <c:pt idx="101">
                  <c:v>0</c:v>
                </c:pt>
              </c:numCache>
            </c:numRef>
          </c:xVal>
          <c:yVal>
            <c:numRef>
              <c:f>'Mass vs Power'!$P$4:$P$105</c:f>
              <c:numCache>
                <c:formatCode>General</c:formatCode>
                <c:ptCount val="102"/>
                <c:pt idx="0">
                  <c:v>0</c:v>
                </c:pt>
                <c:pt idx="1">
                  <c:v>0</c:v>
                </c:pt>
                <c:pt idx="2">
                  <c:v>0</c:v>
                </c:pt>
                <c:pt idx="3">
                  <c:v>243.5</c:v>
                </c:pt>
                <c:pt idx="4">
                  <c:v>110</c:v>
                </c:pt>
                <c:pt idx="5">
                  <c:v>531</c:v>
                </c:pt>
                <c:pt idx="6">
                  <c:v>248.58</c:v>
                </c:pt>
                <c:pt idx="7">
                  <c:v>239</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349</c:v>
                </c:pt>
                <c:pt idx="39">
                  <c:v>31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c:v>
                </c:pt>
                <c:pt idx="74">
                  <c:v>7.6</c:v>
                </c:pt>
                <c:pt idx="75">
                  <c:v>0</c:v>
                </c:pt>
                <c:pt idx="76">
                  <c:v>3.9</c:v>
                </c:pt>
                <c:pt idx="77">
                  <c:v>6.2</c:v>
                </c:pt>
                <c:pt idx="78">
                  <c:v>11</c:v>
                </c:pt>
                <c:pt idx="79">
                  <c:v>21.95999999999999</c:v>
                </c:pt>
                <c:pt idx="80">
                  <c:v>10</c:v>
                </c:pt>
                <c:pt idx="81">
                  <c:v>13.7</c:v>
                </c:pt>
                <c:pt idx="82">
                  <c:v>0</c:v>
                </c:pt>
                <c:pt idx="83">
                  <c:v>0</c:v>
                </c:pt>
                <c:pt idx="84">
                  <c:v>0</c:v>
                </c:pt>
                <c:pt idx="85">
                  <c:v>0</c:v>
                </c:pt>
                <c:pt idx="86">
                  <c:v>0</c:v>
                </c:pt>
                <c:pt idx="87">
                  <c:v>0</c:v>
                </c:pt>
                <c:pt idx="88">
                  <c:v>0</c:v>
                </c:pt>
                <c:pt idx="89">
                  <c:v>0</c:v>
                </c:pt>
                <c:pt idx="90">
                  <c:v>117</c:v>
                </c:pt>
                <c:pt idx="91">
                  <c:v>205</c:v>
                </c:pt>
                <c:pt idx="92">
                  <c:v>0</c:v>
                </c:pt>
                <c:pt idx="93">
                  <c:v>0</c:v>
                </c:pt>
                <c:pt idx="94">
                  <c:v>0</c:v>
                </c:pt>
                <c:pt idx="95">
                  <c:v>0</c:v>
                </c:pt>
                <c:pt idx="96">
                  <c:v>0</c:v>
                </c:pt>
                <c:pt idx="97">
                  <c:v>0</c:v>
                </c:pt>
                <c:pt idx="98">
                  <c:v>0</c:v>
                </c:pt>
                <c:pt idx="99">
                  <c:v>0</c:v>
                </c:pt>
                <c:pt idx="100">
                  <c:v>0</c:v>
                </c:pt>
                <c:pt idx="101">
                  <c:v>0</c:v>
                </c:pt>
              </c:numCache>
            </c:numRef>
          </c:yVal>
          <c:smooth val="0"/>
        </c:ser>
        <c:ser>
          <c:idx val="4"/>
          <c:order val="1"/>
          <c:tx>
            <c:v>Earth Competed</c:v>
          </c:tx>
          <c:spPr>
            <a:ln w="28575">
              <a:noFill/>
            </a:ln>
          </c:spPr>
          <c:marker>
            <c:symbol val="diamond"/>
            <c:size val="7"/>
            <c:spPr>
              <a:noFill/>
              <a:ln>
                <a:solidFill>
                  <a:srgbClr val="00B0F0"/>
                </a:solidFill>
              </a:ln>
            </c:spPr>
          </c:marker>
          <c:xVal>
            <c:numRef>
              <c:f>'Mass vs Power'!$W$4:$W$105</c:f>
              <c:numCache>
                <c:formatCode>General</c:formatCode>
                <c:ptCount val="102"/>
                <c:pt idx="0">
                  <c:v>13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47.28</c:v>
                </c:pt>
                <c:pt idx="95">
                  <c:v>219.6</c:v>
                </c:pt>
                <c:pt idx="96">
                  <c:v>0</c:v>
                </c:pt>
                <c:pt idx="97">
                  <c:v>0</c:v>
                </c:pt>
                <c:pt idx="98">
                  <c:v>0</c:v>
                </c:pt>
                <c:pt idx="99">
                  <c:v>0</c:v>
                </c:pt>
                <c:pt idx="100">
                  <c:v>283</c:v>
                </c:pt>
                <c:pt idx="101">
                  <c:v>0</c:v>
                </c:pt>
              </c:numCache>
            </c:numRef>
          </c:xVal>
          <c:yVal>
            <c:numRef>
              <c:f>'Mass vs Power'!$X$4:$X$105</c:f>
              <c:numCache>
                <c:formatCode>General</c:formatCode>
                <c:ptCount val="102"/>
                <c:pt idx="0">
                  <c:v>10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66.599999999999994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26</c:v>
                </c:pt>
                <c:pt idx="95">
                  <c:v>237</c:v>
                </c:pt>
                <c:pt idx="96">
                  <c:v>0</c:v>
                </c:pt>
                <c:pt idx="97">
                  <c:v>0</c:v>
                </c:pt>
                <c:pt idx="98">
                  <c:v>0</c:v>
                </c:pt>
                <c:pt idx="99">
                  <c:v>0</c:v>
                </c:pt>
                <c:pt idx="100">
                  <c:v>200</c:v>
                </c:pt>
                <c:pt idx="101">
                  <c:v>0</c:v>
                </c:pt>
              </c:numCache>
            </c:numRef>
          </c:yVal>
          <c:smooth val="0"/>
        </c:ser>
        <c:ser>
          <c:idx val="1"/>
          <c:order val="2"/>
          <c:tx>
            <c:v>Planetary Directed</c:v>
          </c:tx>
          <c:spPr>
            <a:ln w="28575">
              <a:noFill/>
            </a:ln>
          </c:spPr>
          <c:marker>
            <c:spPr>
              <a:solidFill>
                <a:srgbClr val="00B050"/>
              </a:solidFill>
              <a:ln>
                <a:solidFill>
                  <a:srgbClr val="00B050"/>
                </a:solidFill>
              </a:ln>
            </c:spPr>
          </c:marker>
          <c:xVal>
            <c:numRef>
              <c:f>'Mass vs Power'!$Q$4:$Q$105</c:f>
              <c:numCache>
                <c:formatCode>General</c:formatCode>
                <c:ptCount val="102"/>
                <c:pt idx="0">
                  <c:v>0</c:v>
                </c:pt>
                <c:pt idx="1">
                  <c:v>0</c:v>
                </c:pt>
                <c:pt idx="2">
                  <c:v>0</c:v>
                </c:pt>
                <c:pt idx="3">
                  <c:v>0</c:v>
                </c:pt>
                <c:pt idx="4">
                  <c:v>0</c:v>
                </c:pt>
                <c:pt idx="5">
                  <c:v>0</c:v>
                </c:pt>
                <c:pt idx="6">
                  <c:v>0</c:v>
                </c:pt>
                <c:pt idx="7">
                  <c:v>0</c:v>
                </c:pt>
                <c:pt idx="8">
                  <c:v>23.03</c:v>
                </c:pt>
                <c:pt idx="9">
                  <c:v>155.75</c:v>
                </c:pt>
                <c:pt idx="10">
                  <c:v>39.240000000000009</c:v>
                </c:pt>
                <c:pt idx="11">
                  <c:v>10.3</c:v>
                </c:pt>
                <c:pt idx="12">
                  <c:v>57.7</c:v>
                </c:pt>
                <c:pt idx="13">
                  <c:v>16</c:v>
                </c:pt>
                <c:pt idx="14">
                  <c:v>37.675000000000011</c:v>
                </c:pt>
                <c:pt idx="15">
                  <c:v>37.1</c:v>
                </c:pt>
                <c:pt idx="16">
                  <c:v>0</c:v>
                </c:pt>
                <c:pt idx="17">
                  <c:v>0</c:v>
                </c:pt>
                <c:pt idx="18">
                  <c:v>0</c:v>
                </c:pt>
                <c:pt idx="19">
                  <c:v>0</c:v>
                </c:pt>
                <c:pt idx="20">
                  <c:v>0</c:v>
                </c:pt>
                <c:pt idx="21">
                  <c:v>0</c:v>
                </c:pt>
                <c:pt idx="22">
                  <c:v>0</c:v>
                </c:pt>
                <c:pt idx="23">
                  <c:v>0</c:v>
                </c:pt>
                <c:pt idx="24">
                  <c:v>0</c:v>
                </c:pt>
                <c:pt idx="25">
                  <c:v>10.471</c:v>
                </c:pt>
                <c:pt idx="26">
                  <c:v>7.2</c:v>
                </c:pt>
                <c:pt idx="27">
                  <c:v>18.130000000000031</c:v>
                </c:pt>
                <c:pt idx="28">
                  <c:v>13.2</c:v>
                </c:pt>
                <c:pt idx="29">
                  <c:v>5.2089999999999996</c:v>
                </c:pt>
                <c:pt idx="30">
                  <c:v>7.1379999999999946</c:v>
                </c:pt>
                <c:pt idx="31">
                  <c:v>27.95</c:v>
                </c:pt>
                <c:pt idx="32">
                  <c:v>5.1769999999999996</c:v>
                </c:pt>
                <c:pt idx="33">
                  <c:v>0</c:v>
                </c:pt>
                <c:pt idx="34">
                  <c:v>0</c:v>
                </c:pt>
                <c:pt idx="35">
                  <c:v>0</c:v>
                </c:pt>
                <c:pt idx="36">
                  <c:v>0</c:v>
                </c:pt>
                <c:pt idx="37">
                  <c:v>0</c:v>
                </c:pt>
                <c:pt idx="38">
                  <c:v>0</c:v>
                </c:pt>
                <c:pt idx="39">
                  <c:v>0</c:v>
                </c:pt>
                <c:pt idx="40">
                  <c:v>12.58</c:v>
                </c:pt>
                <c:pt idx="41">
                  <c:v>11.9</c:v>
                </c:pt>
                <c:pt idx="42">
                  <c:v>260.25</c:v>
                </c:pt>
                <c:pt idx="43">
                  <c:v>18.044</c:v>
                </c:pt>
                <c:pt idx="44">
                  <c:v>5.2</c:v>
                </c:pt>
                <c:pt idx="45">
                  <c:v>26</c:v>
                </c:pt>
                <c:pt idx="46">
                  <c:v>23.6</c:v>
                </c:pt>
                <c:pt idx="47">
                  <c:v>24.79</c:v>
                </c:pt>
                <c:pt idx="48">
                  <c:v>44.06636363636364</c:v>
                </c:pt>
                <c:pt idx="49">
                  <c:v>14.35909090909097</c:v>
                </c:pt>
                <c:pt idx="50">
                  <c:v>30.5</c:v>
                </c:pt>
                <c:pt idx="51">
                  <c:v>3.3094329896906971</c:v>
                </c:pt>
                <c:pt idx="52">
                  <c:v>13</c:v>
                </c:pt>
                <c:pt idx="53">
                  <c:v>33.1</c:v>
                </c:pt>
                <c:pt idx="54">
                  <c:v>3.37</c:v>
                </c:pt>
                <c:pt idx="55">
                  <c:v>65.100000000000009</c:v>
                </c:pt>
                <c:pt idx="56">
                  <c:v>1.04</c:v>
                </c:pt>
                <c:pt idx="57">
                  <c:v>8.98</c:v>
                </c:pt>
                <c:pt idx="58">
                  <c:v>2.8499999999999992</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Power'!$R$4:$R$105</c:f>
              <c:numCache>
                <c:formatCode>General</c:formatCode>
                <c:ptCount val="102"/>
                <c:pt idx="0">
                  <c:v>0</c:v>
                </c:pt>
                <c:pt idx="1">
                  <c:v>0</c:v>
                </c:pt>
                <c:pt idx="2">
                  <c:v>0</c:v>
                </c:pt>
                <c:pt idx="3">
                  <c:v>0</c:v>
                </c:pt>
                <c:pt idx="4">
                  <c:v>0</c:v>
                </c:pt>
                <c:pt idx="5">
                  <c:v>0</c:v>
                </c:pt>
                <c:pt idx="6">
                  <c:v>0</c:v>
                </c:pt>
                <c:pt idx="7">
                  <c:v>0</c:v>
                </c:pt>
                <c:pt idx="8">
                  <c:v>21</c:v>
                </c:pt>
                <c:pt idx="9">
                  <c:v>111</c:v>
                </c:pt>
                <c:pt idx="10">
                  <c:v>32.89</c:v>
                </c:pt>
                <c:pt idx="11">
                  <c:v>31.9</c:v>
                </c:pt>
                <c:pt idx="12">
                  <c:v>55.9</c:v>
                </c:pt>
                <c:pt idx="13">
                  <c:v>20.6</c:v>
                </c:pt>
                <c:pt idx="14">
                  <c:v>16.38</c:v>
                </c:pt>
                <c:pt idx="15">
                  <c:v>25.9</c:v>
                </c:pt>
                <c:pt idx="16">
                  <c:v>0</c:v>
                </c:pt>
                <c:pt idx="17">
                  <c:v>0</c:v>
                </c:pt>
                <c:pt idx="18">
                  <c:v>0</c:v>
                </c:pt>
                <c:pt idx="19">
                  <c:v>0</c:v>
                </c:pt>
                <c:pt idx="20">
                  <c:v>0</c:v>
                </c:pt>
                <c:pt idx="21">
                  <c:v>0</c:v>
                </c:pt>
                <c:pt idx="22">
                  <c:v>0</c:v>
                </c:pt>
                <c:pt idx="23">
                  <c:v>0</c:v>
                </c:pt>
                <c:pt idx="24">
                  <c:v>0</c:v>
                </c:pt>
                <c:pt idx="25">
                  <c:v>10</c:v>
                </c:pt>
                <c:pt idx="26">
                  <c:v>7.35</c:v>
                </c:pt>
                <c:pt idx="27">
                  <c:v>13</c:v>
                </c:pt>
                <c:pt idx="28">
                  <c:v>10.7</c:v>
                </c:pt>
                <c:pt idx="29">
                  <c:v>11</c:v>
                </c:pt>
                <c:pt idx="30">
                  <c:v>9.8000000000000007</c:v>
                </c:pt>
                <c:pt idx="31">
                  <c:v>23.5</c:v>
                </c:pt>
                <c:pt idx="32">
                  <c:v>4.72</c:v>
                </c:pt>
                <c:pt idx="33">
                  <c:v>0</c:v>
                </c:pt>
                <c:pt idx="34">
                  <c:v>0</c:v>
                </c:pt>
                <c:pt idx="35">
                  <c:v>0</c:v>
                </c:pt>
                <c:pt idx="36">
                  <c:v>0</c:v>
                </c:pt>
                <c:pt idx="37">
                  <c:v>0</c:v>
                </c:pt>
                <c:pt idx="38">
                  <c:v>0</c:v>
                </c:pt>
                <c:pt idx="39">
                  <c:v>0</c:v>
                </c:pt>
                <c:pt idx="40">
                  <c:v>31.3</c:v>
                </c:pt>
                <c:pt idx="41">
                  <c:v>21.6</c:v>
                </c:pt>
                <c:pt idx="42">
                  <c:v>200</c:v>
                </c:pt>
                <c:pt idx="43">
                  <c:v>39</c:v>
                </c:pt>
                <c:pt idx="44">
                  <c:v>5.94</c:v>
                </c:pt>
                <c:pt idx="45">
                  <c:v>20.3</c:v>
                </c:pt>
                <c:pt idx="46">
                  <c:v>21</c:v>
                </c:pt>
                <c:pt idx="47">
                  <c:v>28.74</c:v>
                </c:pt>
                <c:pt idx="48">
                  <c:v>37</c:v>
                </c:pt>
                <c:pt idx="49">
                  <c:v>19.375</c:v>
                </c:pt>
                <c:pt idx="50">
                  <c:v>36.299999999999997</c:v>
                </c:pt>
                <c:pt idx="51">
                  <c:v>7</c:v>
                </c:pt>
                <c:pt idx="52">
                  <c:v>14</c:v>
                </c:pt>
                <c:pt idx="53">
                  <c:v>46</c:v>
                </c:pt>
                <c:pt idx="54">
                  <c:v>5.8</c:v>
                </c:pt>
                <c:pt idx="55">
                  <c:v>59.7</c:v>
                </c:pt>
                <c:pt idx="56">
                  <c:v>4.5999999999999996</c:v>
                </c:pt>
                <c:pt idx="57">
                  <c:v>16.100000000000001</c:v>
                </c:pt>
                <c:pt idx="58">
                  <c:v>5.35</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5"/>
          <c:order val="3"/>
          <c:tx>
            <c:v>Planetary Competed</c:v>
          </c:tx>
          <c:spPr>
            <a:ln w="28575">
              <a:noFill/>
            </a:ln>
          </c:spPr>
          <c:marker>
            <c:symbol val="square"/>
            <c:size val="7"/>
            <c:spPr>
              <a:noFill/>
              <a:ln>
                <a:solidFill>
                  <a:srgbClr val="00B050"/>
                </a:solidFill>
              </a:ln>
            </c:spPr>
          </c:marker>
          <c:xVal>
            <c:numRef>
              <c:f>'Mass vs Power'!$Y$4:$Y$105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10.5</c:v>
                </c:pt>
                <c:pt idx="19">
                  <c:v>52.48</c:v>
                </c:pt>
                <c:pt idx="20">
                  <c:v>17.899999999999999</c:v>
                </c:pt>
                <c:pt idx="21">
                  <c:v>19.399999999999999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3.4</c:v>
                </c:pt>
                <c:pt idx="60">
                  <c:v>12.7</c:v>
                </c:pt>
                <c:pt idx="61">
                  <c:v>3.58</c:v>
                </c:pt>
                <c:pt idx="62">
                  <c:v>3.1</c:v>
                </c:pt>
                <c:pt idx="63">
                  <c:v>11.03</c:v>
                </c:pt>
                <c:pt idx="64">
                  <c:v>7.4</c:v>
                </c:pt>
                <c:pt idx="65">
                  <c:v>6.6</c:v>
                </c:pt>
                <c:pt idx="66">
                  <c:v>1.5920000000000001</c:v>
                </c:pt>
                <c:pt idx="67">
                  <c:v>10.7</c:v>
                </c:pt>
                <c:pt idx="68">
                  <c:v>15.6</c:v>
                </c:pt>
                <c:pt idx="69">
                  <c:v>8.6</c:v>
                </c:pt>
                <c:pt idx="70">
                  <c:v>3.29</c:v>
                </c:pt>
                <c:pt idx="71">
                  <c:v>12.96600000000001</c:v>
                </c:pt>
                <c:pt idx="72">
                  <c:v>5.4649999999999874</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Power'!$Z$4:$Z$105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15</c:v>
                </c:pt>
                <c:pt idx="19">
                  <c:v>58.2</c:v>
                </c:pt>
                <c:pt idx="20">
                  <c:v>24</c:v>
                </c:pt>
                <c:pt idx="21">
                  <c:v>58.2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7.5</c:v>
                </c:pt>
                <c:pt idx="60">
                  <c:v>23</c:v>
                </c:pt>
                <c:pt idx="61">
                  <c:v>4.2</c:v>
                </c:pt>
                <c:pt idx="62">
                  <c:v>8.2000000000000011</c:v>
                </c:pt>
                <c:pt idx="63">
                  <c:v>19.899999999999999</c:v>
                </c:pt>
                <c:pt idx="64">
                  <c:v>38.6</c:v>
                </c:pt>
                <c:pt idx="65">
                  <c:v>10.5</c:v>
                </c:pt>
                <c:pt idx="66">
                  <c:v>11.2</c:v>
                </c:pt>
                <c:pt idx="67">
                  <c:v>8.43</c:v>
                </c:pt>
                <c:pt idx="68">
                  <c:v>9.3000000000000007</c:v>
                </c:pt>
                <c:pt idx="69">
                  <c:v>10</c:v>
                </c:pt>
                <c:pt idx="70">
                  <c:v>2.84</c:v>
                </c:pt>
                <c:pt idx="71">
                  <c:v>17</c:v>
                </c:pt>
                <c:pt idx="72">
                  <c:v>10.5</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2"/>
          <c:order val="4"/>
          <c:tx>
            <c:v>Helio Directed</c:v>
          </c:tx>
          <c:spPr>
            <a:ln w="28575">
              <a:noFill/>
            </a:ln>
          </c:spPr>
          <c:marker>
            <c:symbol val="circle"/>
            <c:size val="7"/>
            <c:spPr>
              <a:solidFill>
                <a:srgbClr val="FFC000"/>
              </a:solidFill>
              <a:ln>
                <a:solidFill>
                  <a:srgbClr val="FFC000"/>
                </a:solidFill>
              </a:ln>
            </c:spPr>
          </c:marker>
          <c:xVal>
            <c:numRef>
              <c:f>'Mass vs Power'!$S$4:$S$105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13.5</c:v>
                </c:pt>
                <c:pt idx="90">
                  <c:v>0</c:v>
                </c:pt>
                <c:pt idx="91">
                  <c:v>0</c:v>
                </c:pt>
                <c:pt idx="92">
                  <c:v>0</c:v>
                </c:pt>
                <c:pt idx="93">
                  <c:v>0</c:v>
                </c:pt>
                <c:pt idx="94">
                  <c:v>0</c:v>
                </c:pt>
                <c:pt idx="95">
                  <c:v>0</c:v>
                </c:pt>
                <c:pt idx="96">
                  <c:v>5.8</c:v>
                </c:pt>
                <c:pt idx="97">
                  <c:v>5.5839999999999996</c:v>
                </c:pt>
                <c:pt idx="98">
                  <c:v>6.7</c:v>
                </c:pt>
                <c:pt idx="99">
                  <c:v>7.4</c:v>
                </c:pt>
                <c:pt idx="100">
                  <c:v>0</c:v>
                </c:pt>
                <c:pt idx="101">
                  <c:v>0</c:v>
                </c:pt>
              </c:numCache>
            </c:numRef>
          </c:xVal>
          <c:yVal>
            <c:numRef>
              <c:f>'Mass vs Power'!$T$4:$T$105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12</c:v>
                </c:pt>
                <c:pt idx="90">
                  <c:v>0</c:v>
                </c:pt>
                <c:pt idx="91">
                  <c:v>0</c:v>
                </c:pt>
                <c:pt idx="92">
                  <c:v>0</c:v>
                </c:pt>
                <c:pt idx="93">
                  <c:v>0</c:v>
                </c:pt>
                <c:pt idx="94">
                  <c:v>0</c:v>
                </c:pt>
                <c:pt idx="95">
                  <c:v>0</c:v>
                </c:pt>
                <c:pt idx="96">
                  <c:v>11.5</c:v>
                </c:pt>
                <c:pt idx="97">
                  <c:v>4.8</c:v>
                </c:pt>
                <c:pt idx="98">
                  <c:v>5.5</c:v>
                </c:pt>
                <c:pt idx="99">
                  <c:v>10</c:v>
                </c:pt>
                <c:pt idx="100">
                  <c:v>0</c:v>
                </c:pt>
                <c:pt idx="101">
                  <c:v>0</c:v>
                </c:pt>
              </c:numCache>
            </c:numRef>
          </c:yVal>
          <c:smooth val="0"/>
        </c:ser>
        <c:ser>
          <c:idx val="6"/>
          <c:order val="5"/>
          <c:tx>
            <c:v>Helio Competed</c:v>
          </c:tx>
          <c:spPr>
            <a:ln w="28575">
              <a:noFill/>
            </a:ln>
          </c:spPr>
          <c:marker>
            <c:symbol val="circle"/>
            <c:size val="7"/>
            <c:spPr>
              <a:noFill/>
              <a:ln>
                <a:solidFill>
                  <a:srgbClr val="FFC000"/>
                </a:solidFill>
              </a:ln>
            </c:spPr>
          </c:marker>
          <c:xVal>
            <c:numRef>
              <c:f>'Mass vs Power'!$AA$4:$AA$105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12.2</c:v>
                </c:pt>
                <c:pt idx="93">
                  <c:v>0</c:v>
                </c:pt>
                <c:pt idx="94">
                  <c:v>0</c:v>
                </c:pt>
                <c:pt idx="95">
                  <c:v>0</c:v>
                </c:pt>
                <c:pt idx="96">
                  <c:v>0</c:v>
                </c:pt>
                <c:pt idx="97">
                  <c:v>0</c:v>
                </c:pt>
                <c:pt idx="98">
                  <c:v>0</c:v>
                </c:pt>
                <c:pt idx="99">
                  <c:v>0</c:v>
                </c:pt>
                <c:pt idx="100">
                  <c:v>0</c:v>
                </c:pt>
                <c:pt idx="101">
                  <c:v>2.6</c:v>
                </c:pt>
              </c:numCache>
            </c:numRef>
          </c:xVal>
          <c:yVal>
            <c:numRef>
              <c:f>'Mass vs Power'!$AB$4:$AB$105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2.9279999999999999</c:v>
                </c:pt>
                <c:pt idx="93">
                  <c:v>0</c:v>
                </c:pt>
                <c:pt idx="94">
                  <c:v>0</c:v>
                </c:pt>
                <c:pt idx="95">
                  <c:v>0</c:v>
                </c:pt>
                <c:pt idx="96">
                  <c:v>0</c:v>
                </c:pt>
                <c:pt idx="97">
                  <c:v>0</c:v>
                </c:pt>
                <c:pt idx="98">
                  <c:v>0</c:v>
                </c:pt>
                <c:pt idx="99">
                  <c:v>0</c:v>
                </c:pt>
                <c:pt idx="100">
                  <c:v>0</c:v>
                </c:pt>
                <c:pt idx="101">
                  <c:v>2.4</c:v>
                </c:pt>
              </c:numCache>
            </c:numRef>
          </c:yVal>
          <c:smooth val="0"/>
        </c:ser>
        <c:ser>
          <c:idx val="3"/>
          <c:order val="6"/>
          <c:tx>
            <c:v>Astro Directed</c:v>
          </c:tx>
          <c:spPr>
            <a:ln w="28575">
              <a:noFill/>
            </a:ln>
          </c:spPr>
          <c:marker>
            <c:symbol val="triangle"/>
            <c:size val="7"/>
            <c:spPr>
              <a:solidFill>
                <a:srgbClr val="7030A0"/>
              </a:solidFill>
              <a:ln>
                <a:solidFill>
                  <a:srgbClr val="7030A0"/>
                </a:solidFill>
              </a:ln>
            </c:spPr>
          </c:marker>
          <c:xVal>
            <c:numRef>
              <c:f>'Mass vs Power'!$U$4:$U$105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108.2</c:v>
                </c:pt>
                <c:pt idx="17">
                  <c:v>8.2299999999999986</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292</c:v>
                </c:pt>
                <c:pt idx="37">
                  <c:v>281.2</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273</c:v>
                </c:pt>
                <c:pt idx="84">
                  <c:v>373.6</c:v>
                </c:pt>
                <c:pt idx="85">
                  <c:v>29.064</c:v>
                </c:pt>
                <c:pt idx="86">
                  <c:v>39.5</c:v>
                </c:pt>
                <c:pt idx="87">
                  <c:v>33.336000000000013</c:v>
                </c:pt>
                <c:pt idx="88">
                  <c:v>0</c:v>
                </c:pt>
                <c:pt idx="89">
                  <c:v>0</c:v>
                </c:pt>
                <c:pt idx="90">
                  <c:v>0</c:v>
                </c:pt>
                <c:pt idx="91">
                  <c:v>0</c:v>
                </c:pt>
                <c:pt idx="92">
                  <c:v>0</c:v>
                </c:pt>
                <c:pt idx="93">
                  <c:v>341.3</c:v>
                </c:pt>
                <c:pt idx="94">
                  <c:v>0</c:v>
                </c:pt>
                <c:pt idx="95">
                  <c:v>0</c:v>
                </c:pt>
                <c:pt idx="96">
                  <c:v>0</c:v>
                </c:pt>
                <c:pt idx="97">
                  <c:v>0</c:v>
                </c:pt>
                <c:pt idx="98">
                  <c:v>0</c:v>
                </c:pt>
                <c:pt idx="99">
                  <c:v>0</c:v>
                </c:pt>
                <c:pt idx="100">
                  <c:v>0</c:v>
                </c:pt>
                <c:pt idx="101">
                  <c:v>0</c:v>
                </c:pt>
              </c:numCache>
            </c:numRef>
          </c:xVal>
          <c:yVal>
            <c:numRef>
              <c:f>'Mass vs Power'!$V$4:$V$105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155</c:v>
                </c:pt>
                <c:pt idx="17">
                  <c:v>22</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190</c:v>
                </c:pt>
                <c:pt idx="37">
                  <c:v>190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150</c:v>
                </c:pt>
                <c:pt idx="84">
                  <c:v>250</c:v>
                </c:pt>
                <c:pt idx="85">
                  <c:v>56</c:v>
                </c:pt>
                <c:pt idx="86">
                  <c:v>69.599999999999994</c:v>
                </c:pt>
                <c:pt idx="87">
                  <c:v>56</c:v>
                </c:pt>
                <c:pt idx="88">
                  <c:v>0</c:v>
                </c:pt>
                <c:pt idx="89">
                  <c:v>0</c:v>
                </c:pt>
                <c:pt idx="90">
                  <c:v>0</c:v>
                </c:pt>
                <c:pt idx="91">
                  <c:v>0</c:v>
                </c:pt>
                <c:pt idx="92">
                  <c:v>0</c:v>
                </c:pt>
                <c:pt idx="93">
                  <c:v>249.2</c:v>
                </c:pt>
                <c:pt idx="94">
                  <c:v>0</c:v>
                </c:pt>
                <c:pt idx="95">
                  <c:v>0</c:v>
                </c:pt>
                <c:pt idx="96">
                  <c:v>0</c:v>
                </c:pt>
                <c:pt idx="97">
                  <c:v>0</c:v>
                </c:pt>
                <c:pt idx="98">
                  <c:v>0</c:v>
                </c:pt>
                <c:pt idx="99">
                  <c:v>0</c:v>
                </c:pt>
                <c:pt idx="100">
                  <c:v>0</c:v>
                </c:pt>
                <c:pt idx="101">
                  <c:v>0</c:v>
                </c:pt>
              </c:numCache>
            </c:numRef>
          </c:yVal>
          <c:smooth val="0"/>
        </c:ser>
        <c:ser>
          <c:idx val="7"/>
          <c:order val="7"/>
          <c:tx>
            <c:v>Astro Competed</c:v>
          </c:tx>
          <c:spPr>
            <a:ln w="28575">
              <a:noFill/>
            </a:ln>
          </c:spPr>
          <c:marker>
            <c:symbol val="triangle"/>
            <c:size val="7"/>
            <c:spPr>
              <a:noFill/>
              <a:ln>
                <a:solidFill>
                  <a:srgbClr val="7030A0"/>
                </a:solidFill>
              </a:ln>
            </c:spPr>
          </c:marker>
          <c:xVal>
            <c:numRef>
              <c:f>'Mass vs Power'!$AC$4:$AC$5</c:f>
              <c:numCache>
                <c:formatCode>General</c:formatCode>
                <c:ptCount val="2"/>
                <c:pt idx="0">
                  <c:v>0</c:v>
                </c:pt>
                <c:pt idx="1">
                  <c:v>0</c:v>
                </c:pt>
              </c:numCache>
            </c:numRef>
          </c:xVal>
          <c:yVal>
            <c:numRef>
              <c:f>'Mass vs Power'!$AD$4:$AD$105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191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dLbls>
          <c:showLegendKey val="0"/>
          <c:showVal val="0"/>
          <c:showCatName val="0"/>
          <c:showSerName val="0"/>
          <c:showPercent val="0"/>
          <c:showBubbleSize val="0"/>
        </c:dLbls>
        <c:axId val="239130168"/>
        <c:axId val="239130560"/>
      </c:scatterChart>
      <c:valAx>
        <c:axId val="239130168"/>
        <c:scaling>
          <c:logBase val="10"/>
          <c:orientation val="minMax"/>
          <c:max val="1000"/>
          <c:min val="0.1"/>
        </c:scaling>
        <c:delete val="0"/>
        <c:axPos val="b"/>
        <c:majorGridlines/>
        <c:minorGridlines/>
        <c:title>
          <c:tx>
            <c:rich>
              <a:bodyPr/>
              <a:lstStyle/>
              <a:p>
                <a:pPr>
                  <a:defRPr/>
                </a:pPr>
                <a:r>
                  <a:rPr lang="en-US"/>
                  <a:t>Instrument Mass (kg)</a:t>
                </a:r>
              </a:p>
            </c:rich>
          </c:tx>
          <c:overlay val="0"/>
        </c:title>
        <c:numFmt formatCode="General" sourceLinked="1"/>
        <c:majorTickMark val="out"/>
        <c:minorTickMark val="none"/>
        <c:tickLblPos val="nextTo"/>
        <c:crossAx val="239130560"/>
        <c:crossesAt val="0.1"/>
        <c:crossBetween val="midCat"/>
      </c:valAx>
      <c:valAx>
        <c:axId val="239130560"/>
        <c:scaling>
          <c:logBase val="10"/>
          <c:orientation val="minMax"/>
          <c:min val="0.1"/>
        </c:scaling>
        <c:delete val="0"/>
        <c:axPos val="l"/>
        <c:majorGridlines/>
        <c:minorGridlines/>
        <c:title>
          <c:tx>
            <c:rich>
              <a:bodyPr rot="-5400000" vert="horz"/>
              <a:lstStyle/>
              <a:p>
                <a:pPr>
                  <a:defRPr/>
                </a:pPr>
                <a:r>
                  <a:rPr lang="en-US"/>
                  <a:t>Total Instrument Power (W)</a:t>
                </a:r>
              </a:p>
            </c:rich>
          </c:tx>
          <c:overlay val="0"/>
        </c:title>
        <c:numFmt formatCode="#,##0" sourceLinked="0"/>
        <c:majorTickMark val="out"/>
        <c:minorTickMark val="none"/>
        <c:tickLblPos val="nextTo"/>
        <c:crossAx val="239130168"/>
        <c:crossesAt val="0.1"/>
        <c:crossBetween val="midCat"/>
      </c:valAx>
    </c:plotArea>
    <c:legend>
      <c:legendPos val="r"/>
      <c:overlay val="0"/>
    </c:legend>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NICM!$CD$1</c:f>
              <c:strCache>
                <c:ptCount val="1"/>
                <c:pt idx="0">
                  <c:v>TOTAL Data Rate (kbps)</c:v>
                </c:pt>
              </c:strCache>
            </c:strRef>
          </c:tx>
          <c:spPr>
            <a:ln w="28575">
              <a:noFill/>
            </a:ln>
          </c:spPr>
          <c:marker>
            <c:spPr>
              <a:noFill/>
            </c:spPr>
          </c:marker>
          <c:trendline>
            <c:spPr>
              <a:ln w="22225"/>
            </c:spPr>
            <c:trendlineType val="linear"/>
            <c:dispRSqr val="0"/>
            <c:dispEq val="0"/>
          </c:trendline>
          <c:xVal>
            <c:numRef>
              <c:f>NICM!$G$2:$G$300</c:f>
              <c:numCache>
                <c:formatCode>mmm\-yy</c:formatCode>
                <c:ptCount val="299"/>
                <c:pt idx="0">
                  <c:v>36514</c:v>
                </c:pt>
                <c:pt idx="1">
                  <c:v>35278</c:v>
                </c:pt>
                <c:pt idx="2">
                  <c:v>37591</c:v>
                </c:pt>
                <c:pt idx="3">
                  <c:v>37377</c:v>
                </c:pt>
                <c:pt idx="4">
                  <c:v>37377</c:v>
                </c:pt>
                <c:pt idx="5">
                  <c:v>38169</c:v>
                </c:pt>
                <c:pt idx="6">
                  <c:v>38169</c:v>
                </c:pt>
                <c:pt idx="7">
                  <c:v>38169</c:v>
                </c:pt>
                <c:pt idx="8">
                  <c:v>35718</c:v>
                </c:pt>
                <c:pt idx="9">
                  <c:v>35718</c:v>
                </c:pt>
                <c:pt idx="10">
                  <c:v>35718</c:v>
                </c:pt>
                <c:pt idx="11">
                  <c:v>35718</c:v>
                </c:pt>
                <c:pt idx="12">
                  <c:v>35718</c:v>
                </c:pt>
                <c:pt idx="13">
                  <c:v>35718</c:v>
                </c:pt>
                <c:pt idx="14">
                  <c:v>35718</c:v>
                </c:pt>
                <c:pt idx="15">
                  <c:v>35718</c:v>
                </c:pt>
                <c:pt idx="16">
                  <c:v>36364</c:v>
                </c:pt>
                <c:pt idx="17">
                  <c:v>39546</c:v>
                </c:pt>
                <c:pt idx="18">
                  <c:v>39295</c:v>
                </c:pt>
                <c:pt idx="19">
                  <c:v>38364</c:v>
                </c:pt>
                <c:pt idx="20">
                  <c:v>38364</c:v>
                </c:pt>
                <c:pt idx="21">
                  <c:v>38364</c:v>
                </c:pt>
                <c:pt idx="22">
                  <c:v>32295</c:v>
                </c:pt>
                <c:pt idx="23">
                  <c:v>35247</c:v>
                </c:pt>
                <c:pt idx="24">
                  <c:v>37712</c:v>
                </c:pt>
                <c:pt idx="25">
                  <c:v>32799</c:v>
                </c:pt>
                <c:pt idx="26">
                  <c:v>32799</c:v>
                </c:pt>
                <c:pt idx="27">
                  <c:v>32799</c:v>
                </c:pt>
                <c:pt idx="28">
                  <c:v>32799</c:v>
                </c:pt>
                <c:pt idx="29">
                  <c:v>32799</c:v>
                </c:pt>
                <c:pt idx="30">
                  <c:v>32799</c:v>
                </c:pt>
                <c:pt idx="31">
                  <c:v>32799</c:v>
                </c:pt>
                <c:pt idx="32">
                  <c:v>35718</c:v>
                </c:pt>
                <c:pt idx="33">
                  <c:v>35827</c:v>
                </c:pt>
                <c:pt idx="34">
                  <c:v>35827</c:v>
                </c:pt>
                <c:pt idx="35">
                  <c:v>33756</c:v>
                </c:pt>
                <c:pt idx="36">
                  <c:v>32987</c:v>
                </c:pt>
                <c:pt idx="37">
                  <c:v>34304</c:v>
                </c:pt>
                <c:pt idx="38">
                  <c:v>37530</c:v>
                </c:pt>
                <c:pt idx="39">
                  <c:v>37226</c:v>
                </c:pt>
                <c:pt idx="40">
                  <c:v>39965</c:v>
                </c:pt>
                <c:pt idx="41">
                  <c:v>39752</c:v>
                </c:pt>
                <c:pt idx="42">
                  <c:v>32629</c:v>
                </c:pt>
                <c:pt idx="43">
                  <c:v>37773</c:v>
                </c:pt>
                <c:pt idx="44">
                  <c:v>35370</c:v>
                </c:pt>
                <c:pt idx="45">
                  <c:v>33872</c:v>
                </c:pt>
                <c:pt idx="46">
                  <c:v>33872</c:v>
                </c:pt>
                <c:pt idx="47">
                  <c:v>33872</c:v>
                </c:pt>
                <c:pt idx="48">
                  <c:v>33872</c:v>
                </c:pt>
                <c:pt idx="49">
                  <c:v>33872</c:v>
                </c:pt>
                <c:pt idx="50">
                  <c:v>36988</c:v>
                </c:pt>
                <c:pt idx="51">
                  <c:v>36988</c:v>
                </c:pt>
                <c:pt idx="52">
                  <c:v>36988</c:v>
                </c:pt>
                <c:pt idx="53">
                  <c:v>38576</c:v>
                </c:pt>
                <c:pt idx="54">
                  <c:v>38576</c:v>
                </c:pt>
                <c:pt idx="55">
                  <c:v>38576</c:v>
                </c:pt>
                <c:pt idx="56">
                  <c:v>38576</c:v>
                </c:pt>
                <c:pt idx="57">
                  <c:v>38576</c:v>
                </c:pt>
                <c:pt idx="58">
                  <c:v>38576</c:v>
                </c:pt>
                <c:pt idx="59">
                  <c:v>38203</c:v>
                </c:pt>
                <c:pt idx="60">
                  <c:v>38200</c:v>
                </c:pt>
                <c:pt idx="61">
                  <c:v>38200</c:v>
                </c:pt>
                <c:pt idx="62">
                  <c:v>38200</c:v>
                </c:pt>
                <c:pt idx="63">
                  <c:v>38200</c:v>
                </c:pt>
                <c:pt idx="64">
                  <c:v>38200</c:v>
                </c:pt>
                <c:pt idx="65">
                  <c:v>38200</c:v>
                </c:pt>
                <c:pt idx="66">
                  <c:v>35096</c:v>
                </c:pt>
                <c:pt idx="67">
                  <c:v>35096</c:v>
                </c:pt>
                <c:pt idx="68">
                  <c:v>35096</c:v>
                </c:pt>
                <c:pt idx="69">
                  <c:v>38723</c:v>
                </c:pt>
                <c:pt idx="70">
                  <c:v>38736</c:v>
                </c:pt>
                <c:pt idx="71">
                  <c:v>36069</c:v>
                </c:pt>
                <c:pt idx="72">
                  <c:v>36092</c:v>
                </c:pt>
                <c:pt idx="73">
                  <c:v>39614</c:v>
                </c:pt>
                <c:pt idx="74">
                  <c:v>35096</c:v>
                </c:pt>
                <c:pt idx="75">
                  <c:v>35096</c:v>
                </c:pt>
                <c:pt idx="76">
                  <c:v>35096</c:v>
                </c:pt>
                <c:pt idx="77">
                  <c:v>35096</c:v>
                </c:pt>
                <c:pt idx="78">
                  <c:v>35096</c:v>
                </c:pt>
                <c:pt idx="79">
                  <c:v>35096</c:v>
                </c:pt>
                <c:pt idx="80">
                  <c:v>35096</c:v>
                </c:pt>
                <c:pt idx="81">
                  <c:v>35096</c:v>
                </c:pt>
                <c:pt idx="82">
                  <c:v>38047</c:v>
                </c:pt>
                <c:pt idx="83">
                  <c:v>35462</c:v>
                </c:pt>
                <c:pt idx="84">
                  <c:v>35462</c:v>
                </c:pt>
                <c:pt idx="85">
                  <c:v>37858</c:v>
                </c:pt>
                <c:pt idx="86">
                  <c:v>37834</c:v>
                </c:pt>
                <c:pt idx="87">
                  <c:v>37858</c:v>
                </c:pt>
                <c:pt idx="88">
                  <c:v>38531</c:v>
                </c:pt>
                <c:pt idx="89">
                  <c:v>39015</c:v>
                </c:pt>
                <c:pt idx="90">
                  <c:v>36495</c:v>
                </c:pt>
                <c:pt idx="91">
                  <c:v>36512</c:v>
                </c:pt>
                <c:pt idx="92">
                  <c:v>38991</c:v>
                </c:pt>
                <c:pt idx="93">
                  <c:v>35431</c:v>
                </c:pt>
                <c:pt idx="94">
                  <c:v>33817</c:v>
                </c:pt>
                <c:pt idx="95">
                  <c:v>33817</c:v>
                </c:pt>
                <c:pt idx="96">
                  <c:v>33147</c:v>
                </c:pt>
                <c:pt idx="97">
                  <c:v>33147</c:v>
                </c:pt>
                <c:pt idx="98">
                  <c:v>33147</c:v>
                </c:pt>
                <c:pt idx="99">
                  <c:v>33147</c:v>
                </c:pt>
                <c:pt idx="100">
                  <c:v>33493</c:v>
                </c:pt>
                <c:pt idx="101">
                  <c:v>34639</c:v>
                </c:pt>
              </c:numCache>
            </c:numRef>
          </c:xVal>
          <c:yVal>
            <c:numRef>
              <c:f>NICM!$CD$2:$CD$300</c:f>
              <c:numCache>
                <c:formatCode>General</c:formatCode>
                <c:ptCount val="299"/>
                <c:pt idx="0">
                  <c:v>1.024</c:v>
                </c:pt>
                <c:pt idx="1">
                  <c:v>3.2</c:v>
                </c:pt>
                <c:pt idx="2">
                  <c:v>36</c:v>
                </c:pt>
                <c:pt idx="3">
                  <c:v>1420</c:v>
                </c:pt>
                <c:pt idx="4">
                  <c:v>3</c:v>
                </c:pt>
                <c:pt idx="5">
                  <c:v>100</c:v>
                </c:pt>
                <c:pt idx="6">
                  <c:v>4700</c:v>
                </c:pt>
                <c:pt idx="7">
                  <c:v>65</c:v>
                </c:pt>
                <c:pt idx="8">
                  <c:v>4</c:v>
                </c:pt>
                <c:pt idx="9">
                  <c:v>365</c:v>
                </c:pt>
                <c:pt idx="10">
                  <c:v>6</c:v>
                </c:pt>
                <c:pt idx="11">
                  <c:v>1.51</c:v>
                </c:pt>
                <c:pt idx="12">
                  <c:v>365.56799999999993</c:v>
                </c:pt>
                <c:pt idx="13">
                  <c:v>7</c:v>
                </c:pt>
                <c:pt idx="14">
                  <c:v>0.98799999999999999</c:v>
                </c:pt>
                <c:pt idx="15">
                  <c:v>182.2</c:v>
                </c:pt>
                <c:pt idx="16">
                  <c:v>28000</c:v>
                </c:pt>
                <c:pt idx="17">
                  <c:v>8400</c:v>
                </c:pt>
                <c:pt idx="18">
                  <c:v>3.1</c:v>
                </c:pt>
                <c:pt idx="19">
                  <c:v>175</c:v>
                </c:pt>
                <c:pt idx="20">
                  <c:v>175</c:v>
                </c:pt>
                <c:pt idx="21">
                  <c:v>175</c:v>
                </c:pt>
                <c:pt idx="22">
                  <c:v>0</c:v>
                </c:pt>
                <c:pt idx="23">
                  <c:v>0.8</c:v>
                </c:pt>
                <c:pt idx="24">
                  <c:v>25000</c:v>
                </c:pt>
                <c:pt idx="25">
                  <c:v>0.91200000000000003</c:v>
                </c:pt>
                <c:pt idx="26">
                  <c:v>0.24</c:v>
                </c:pt>
                <c:pt idx="27">
                  <c:v>11.52</c:v>
                </c:pt>
                <c:pt idx="28">
                  <c:v>0.24</c:v>
                </c:pt>
                <c:pt idx="29">
                  <c:v>0.216</c:v>
                </c:pt>
                <c:pt idx="30">
                  <c:v>0.24</c:v>
                </c:pt>
                <c:pt idx="31">
                  <c:v>806.4</c:v>
                </c:pt>
                <c:pt idx="32">
                  <c:v>403.2</c:v>
                </c:pt>
                <c:pt idx="33">
                  <c:v>1.55</c:v>
                </c:pt>
                <c:pt idx="34">
                  <c:v>0.16</c:v>
                </c:pt>
                <c:pt idx="35">
                  <c:v>4.6079999999999757</c:v>
                </c:pt>
                <c:pt idx="36">
                  <c:v>1000</c:v>
                </c:pt>
                <c:pt idx="37">
                  <c:v>1000</c:v>
                </c:pt>
                <c:pt idx="38">
                  <c:v>550</c:v>
                </c:pt>
                <c:pt idx="39">
                  <c:v>2.5</c:v>
                </c:pt>
                <c:pt idx="40">
                  <c:v>28</c:v>
                </c:pt>
                <c:pt idx="41">
                  <c:v>40.5</c:v>
                </c:pt>
                <c:pt idx="42">
                  <c:v>806.4</c:v>
                </c:pt>
                <c:pt idx="43">
                  <c:v>45</c:v>
                </c:pt>
                <c:pt idx="44">
                  <c:v>0.32400000000000201</c:v>
                </c:pt>
                <c:pt idx="45">
                  <c:v>0.66500000000000403</c:v>
                </c:pt>
                <c:pt idx="46">
                  <c:v>30.648</c:v>
                </c:pt>
                <c:pt idx="47">
                  <c:v>0.61800000000000299</c:v>
                </c:pt>
                <c:pt idx="48">
                  <c:v>0.154</c:v>
                </c:pt>
                <c:pt idx="49">
                  <c:v>1.75</c:v>
                </c:pt>
                <c:pt idx="50">
                  <c:v>2.44</c:v>
                </c:pt>
                <c:pt idx="51">
                  <c:v>9.4562647754137197E-2</c:v>
                </c:pt>
                <c:pt idx="52">
                  <c:v>6200</c:v>
                </c:pt>
                <c:pt idx="53">
                  <c:v>1200</c:v>
                </c:pt>
                <c:pt idx="54">
                  <c:v>20000</c:v>
                </c:pt>
                <c:pt idx="55">
                  <c:v>2400</c:v>
                </c:pt>
                <c:pt idx="56">
                  <c:v>515</c:v>
                </c:pt>
                <c:pt idx="57">
                  <c:v>9.6</c:v>
                </c:pt>
                <c:pt idx="58">
                  <c:v>4.8</c:v>
                </c:pt>
                <c:pt idx="59">
                  <c:v>0.3</c:v>
                </c:pt>
                <c:pt idx="60">
                  <c:v>0.3</c:v>
                </c:pt>
                <c:pt idx="61">
                  <c:v>1.44</c:v>
                </c:pt>
                <c:pt idx="62">
                  <c:v>8.6999999999999994E-2</c:v>
                </c:pt>
                <c:pt idx="63">
                  <c:v>3000</c:v>
                </c:pt>
                <c:pt idx="65">
                  <c:v>8.3000000000000004E-2</c:v>
                </c:pt>
                <c:pt idx="67">
                  <c:v>1600</c:v>
                </c:pt>
                <c:pt idx="69">
                  <c:v>1300</c:v>
                </c:pt>
                <c:pt idx="70">
                  <c:v>0.28000000000000003</c:v>
                </c:pt>
                <c:pt idx="71">
                  <c:v>100</c:v>
                </c:pt>
                <c:pt idx="72">
                  <c:v>1.024</c:v>
                </c:pt>
                <c:pt idx="73">
                  <c:v>1.5</c:v>
                </c:pt>
                <c:pt idx="74">
                  <c:v>1.28</c:v>
                </c:pt>
                <c:pt idx="75">
                  <c:v>3.2</c:v>
                </c:pt>
                <c:pt idx="76">
                  <c:v>25</c:v>
                </c:pt>
                <c:pt idx="77">
                  <c:v>0.5</c:v>
                </c:pt>
                <c:pt idx="78">
                  <c:v>2.5</c:v>
                </c:pt>
                <c:pt idx="79">
                  <c:v>2.52</c:v>
                </c:pt>
                <c:pt idx="80">
                  <c:v>2.5</c:v>
                </c:pt>
                <c:pt idx="81">
                  <c:v>1.8</c:v>
                </c:pt>
                <c:pt idx="82">
                  <c:v>2.423</c:v>
                </c:pt>
                <c:pt idx="83">
                  <c:v>1000</c:v>
                </c:pt>
                <c:pt idx="84">
                  <c:v>1000</c:v>
                </c:pt>
                <c:pt idx="85">
                  <c:v>250</c:v>
                </c:pt>
                <c:pt idx="86">
                  <c:v>40</c:v>
                </c:pt>
                <c:pt idx="87">
                  <c:v>250</c:v>
                </c:pt>
                <c:pt idx="88">
                  <c:v>0.88</c:v>
                </c:pt>
                <c:pt idx="89">
                  <c:v>2.1</c:v>
                </c:pt>
                <c:pt idx="90">
                  <c:v>9000</c:v>
                </c:pt>
                <c:pt idx="91">
                  <c:v>10500</c:v>
                </c:pt>
                <c:pt idx="92">
                  <c:v>12.3</c:v>
                </c:pt>
                <c:pt idx="93">
                  <c:v>1000</c:v>
                </c:pt>
                <c:pt idx="94">
                  <c:v>256</c:v>
                </c:pt>
                <c:pt idx="95">
                  <c:v>16</c:v>
                </c:pt>
                <c:pt idx="96">
                  <c:v>0.16</c:v>
                </c:pt>
                <c:pt idx="97">
                  <c:v>8.8000000000000106E-2</c:v>
                </c:pt>
                <c:pt idx="98">
                  <c:v>0.16</c:v>
                </c:pt>
                <c:pt idx="99">
                  <c:v>0.23200000000000001</c:v>
                </c:pt>
                <c:pt idx="100">
                  <c:v>1.3</c:v>
                </c:pt>
                <c:pt idx="101">
                  <c:v>3</c:v>
                </c:pt>
              </c:numCache>
            </c:numRef>
          </c:yVal>
          <c:smooth val="0"/>
        </c:ser>
        <c:dLbls>
          <c:showLegendKey val="0"/>
          <c:showVal val="0"/>
          <c:showCatName val="0"/>
          <c:showSerName val="0"/>
          <c:showPercent val="0"/>
          <c:showBubbleSize val="0"/>
        </c:dLbls>
        <c:axId val="239131344"/>
        <c:axId val="239131736"/>
      </c:scatterChart>
      <c:valAx>
        <c:axId val="239131344"/>
        <c:scaling>
          <c:orientation val="minMax"/>
          <c:max val="40544"/>
          <c:min val="32874"/>
        </c:scaling>
        <c:delete val="0"/>
        <c:axPos val="b"/>
        <c:majorGridlines/>
        <c:numFmt formatCode="yyyy&quot;'s&quot;" sourceLinked="0"/>
        <c:majorTickMark val="out"/>
        <c:minorTickMark val="none"/>
        <c:tickLblPos val="nextTo"/>
        <c:crossAx val="239131736"/>
        <c:crosses val="autoZero"/>
        <c:crossBetween val="midCat"/>
        <c:majorUnit val="3660"/>
      </c:valAx>
      <c:valAx>
        <c:axId val="239131736"/>
        <c:scaling>
          <c:logBase val="10"/>
          <c:orientation val="minMax"/>
          <c:max val="10000"/>
          <c:min val="1"/>
        </c:scaling>
        <c:delete val="0"/>
        <c:axPos val="l"/>
        <c:majorGridlines/>
        <c:minorGridlines/>
        <c:title>
          <c:tx>
            <c:rich>
              <a:bodyPr rot="-5400000" vert="horz"/>
              <a:lstStyle/>
              <a:p>
                <a:pPr>
                  <a:defRPr/>
                </a:pPr>
                <a:r>
                  <a:rPr lang="en-US"/>
                  <a:t>Total Data Rate (Mbps)</a:t>
                </a:r>
              </a:p>
            </c:rich>
          </c:tx>
          <c:overlay val="0"/>
        </c:title>
        <c:numFmt formatCode="General" sourceLinked="1"/>
        <c:majorTickMark val="out"/>
        <c:minorTickMark val="none"/>
        <c:tickLblPos val="nextTo"/>
        <c:crossAx val="239131344"/>
        <c:crosses val="autoZero"/>
        <c:crossBetween val="midCat"/>
        <c:dispUnits>
          <c:builtInUnit val="thousands"/>
        </c:dispUnits>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Earth Directed</c:v>
          </c:tx>
          <c:spPr>
            <a:ln w="28575">
              <a:noFill/>
            </a:ln>
          </c:spPr>
          <c:marker>
            <c:symbol val="diamond"/>
            <c:size val="7"/>
            <c:spPr>
              <a:solidFill>
                <a:srgbClr val="00B0F0"/>
              </a:solidFill>
            </c:spPr>
          </c:marker>
          <c:dPt>
            <c:idx val="4"/>
            <c:marker>
              <c:spPr>
                <a:solidFill>
                  <a:srgbClr val="00B0F0"/>
                </a:solidFill>
                <a:ln>
                  <a:solidFill>
                    <a:srgbClr val="00B0F0"/>
                  </a:solidFill>
                </a:ln>
              </c:spPr>
            </c:marker>
            <c:bubble3D val="0"/>
          </c:dPt>
          <c:xVal>
            <c:numRef>
              <c:f>'Mass vs Cost '!$O$4:$O$105</c:f>
              <c:numCache>
                <c:formatCode>General</c:formatCode>
                <c:ptCount val="102"/>
                <c:pt idx="0">
                  <c:v>0</c:v>
                </c:pt>
                <c:pt idx="1">
                  <c:v>0</c:v>
                </c:pt>
                <c:pt idx="2">
                  <c:v>0</c:v>
                </c:pt>
                <c:pt idx="3">
                  <c:v>177.2</c:v>
                </c:pt>
                <c:pt idx="4">
                  <c:v>100</c:v>
                </c:pt>
                <c:pt idx="5">
                  <c:v>451</c:v>
                </c:pt>
                <c:pt idx="6">
                  <c:v>328.13</c:v>
                </c:pt>
                <c:pt idx="7">
                  <c:v>220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306.87</c:v>
                </c:pt>
                <c:pt idx="39">
                  <c:v>24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22.7</c:v>
                </c:pt>
                <c:pt idx="74">
                  <c:v>11.9</c:v>
                </c:pt>
                <c:pt idx="75">
                  <c:v>12.18</c:v>
                </c:pt>
                <c:pt idx="76">
                  <c:v>33.299999999999997</c:v>
                </c:pt>
                <c:pt idx="77">
                  <c:v>5.1659999999999746</c:v>
                </c:pt>
                <c:pt idx="78">
                  <c:v>24.5</c:v>
                </c:pt>
                <c:pt idx="79">
                  <c:v>18.399999999999999</c:v>
                </c:pt>
                <c:pt idx="80">
                  <c:v>17.16</c:v>
                </c:pt>
                <c:pt idx="81">
                  <c:v>15.7</c:v>
                </c:pt>
                <c:pt idx="82">
                  <c:v>0</c:v>
                </c:pt>
                <c:pt idx="83">
                  <c:v>0</c:v>
                </c:pt>
                <c:pt idx="84">
                  <c:v>0</c:v>
                </c:pt>
                <c:pt idx="85">
                  <c:v>0</c:v>
                </c:pt>
                <c:pt idx="86">
                  <c:v>0</c:v>
                </c:pt>
                <c:pt idx="87">
                  <c:v>0</c:v>
                </c:pt>
                <c:pt idx="88">
                  <c:v>0</c:v>
                </c:pt>
                <c:pt idx="89">
                  <c:v>0</c:v>
                </c:pt>
                <c:pt idx="90">
                  <c:v>148</c:v>
                </c:pt>
                <c:pt idx="91">
                  <c:v>228.6</c:v>
                </c:pt>
                <c:pt idx="92">
                  <c:v>0</c:v>
                </c:pt>
                <c:pt idx="93">
                  <c:v>0</c:v>
                </c:pt>
                <c:pt idx="94">
                  <c:v>0</c:v>
                </c:pt>
                <c:pt idx="95">
                  <c:v>0</c:v>
                </c:pt>
                <c:pt idx="96">
                  <c:v>0</c:v>
                </c:pt>
                <c:pt idx="97">
                  <c:v>0</c:v>
                </c:pt>
                <c:pt idx="98">
                  <c:v>0</c:v>
                </c:pt>
                <c:pt idx="99">
                  <c:v>0</c:v>
                </c:pt>
                <c:pt idx="100">
                  <c:v>0</c:v>
                </c:pt>
                <c:pt idx="101">
                  <c:v>0</c:v>
                </c:pt>
              </c:numCache>
            </c:numRef>
          </c:xVal>
          <c:yVal>
            <c:numRef>
              <c:f>'Mass vs Cost '!$P$4:$P$105</c:f>
              <c:numCache>
                <c:formatCode>"$"#,##0.00_);\("$"#,##0.00\)</c:formatCode>
                <c:ptCount val="102"/>
                <c:pt idx="0">
                  <c:v>0</c:v>
                </c:pt>
                <c:pt idx="1">
                  <c:v>0</c:v>
                </c:pt>
                <c:pt idx="2">
                  <c:v>0</c:v>
                </c:pt>
                <c:pt idx="3">
                  <c:v>320676</c:v>
                </c:pt>
                <c:pt idx="4">
                  <c:v>50001.06</c:v>
                </c:pt>
                <c:pt idx="5">
                  <c:v>166114</c:v>
                </c:pt>
                <c:pt idx="6">
                  <c:v>179480</c:v>
                </c:pt>
                <c:pt idx="7">
                  <c:v>84081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90266</c:v>
                </c:pt>
                <c:pt idx="39">
                  <c:v>19399</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24104</c:v>
                </c:pt>
                <c:pt idx="74">
                  <c:v>8562</c:v>
                </c:pt>
                <c:pt idx="75">
                  <c:v>10691</c:v>
                </c:pt>
                <c:pt idx="76">
                  <c:v>6420</c:v>
                </c:pt>
                <c:pt idx="77">
                  <c:v>4461.6000000000004</c:v>
                </c:pt>
                <c:pt idx="78">
                  <c:v>12792</c:v>
                </c:pt>
                <c:pt idx="79">
                  <c:v>6281.6</c:v>
                </c:pt>
                <c:pt idx="80">
                  <c:v>11267.1</c:v>
                </c:pt>
                <c:pt idx="81">
                  <c:v>13530</c:v>
                </c:pt>
                <c:pt idx="82">
                  <c:v>0</c:v>
                </c:pt>
                <c:pt idx="83">
                  <c:v>0</c:v>
                </c:pt>
                <c:pt idx="84">
                  <c:v>0</c:v>
                </c:pt>
                <c:pt idx="85">
                  <c:v>0</c:v>
                </c:pt>
                <c:pt idx="86">
                  <c:v>0</c:v>
                </c:pt>
                <c:pt idx="87">
                  <c:v>0</c:v>
                </c:pt>
                <c:pt idx="88">
                  <c:v>0</c:v>
                </c:pt>
                <c:pt idx="89">
                  <c:v>0</c:v>
                </c:pt>
                <c:pt idx="90">
                  <c:v>124730</c:v>
                </c:pt>
                <c:pt idx="91">
                  <c:v>276245</c:v>
                </c:pt>
                <c:pt idx="92">
                  <c:v>0</c:v>
                </c:pt>
                <c:pt idx="93">
                  <c:v>0</c:v>
                </c:pt>
                <c:pt idx="94">
                  <c:v>0</c:v>
                </c:pt>
                <c:pt idx="95">
                  <c:v>0</c:v>
                </c:pt>
                <c:pt idx="96">
                  <c:v>0</c:v>
                </c:pt>
                <c:pt idx="97">
                  <c:v>0</c:v>
                </c:pt>
                <c:pt idx="98">
                  <c:v>0</c:v>
                </c:pt>
                <c:pt idx="99">
                  <c:v>0</c:v>
                </c:pt>
                <c:pt idx="100">
                  <c:v>0</c:v>
                </c:pt>
                <c:pt idx="101">
                  <c:v>0</c:v>
                </c:pt>
              </c:numCache>
            </c:numRef>
          </c:yVal>
          <c:smooth val="0"/>
        </c:ser>
        <c:ser>
          <c:idx val="4"/>
          <c:order val="1"/>
          <c:tx>
            <c:v>Earth Competed</c:v>
          </c:tx>
          <c:spPr>
            <a:ln w="28575">
              <a:noFill/>
            </a:ln>
          </c:spPr>
          <c:marker>
            <c:symbol val="diamond"/>
            <c:size val="7"/>
            <c:spPr>
              <a:noFill/>
              <a:ln>
                <a:solidFill>
                  <a:srgbClr val="00B0F0"/>
                </a:solidFill>
              </a:ln>
            </c:spPr>
          </c:marker>
          <c:xVal>
            <c:numRef>
              <c:f>'Mass vs Cost '!$W$4:$W$105</c:f>
              <c:numCache>
                <c:formatCode>General</c:formatCode>
                <c:ptCount val="102"/>
                <c:pt idx="0">
                  <c:v>13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47.28</c:v>
                </c:pt>
                <c:pt idx="95">
                  <c:v>219.6</c:v>
                </c:pt>
                <c:pt idx="96">
                  <c:v>0</c:v>
                </c:pt>
                <c:pt idx="97">
                  <c:v>0</c:v>
                </c:pt>
                <c:pt idx="98">
                  <c:v>0</c:v>
                </c:pt>
                <c:pt idx="99">
                  <c:v>0</c:v>
                </c:pt>
                <c:pt idx="100">
                  <c:v>283</c:v>
                </c:pt>
                <c:pt idx="101">
                  <c:v>0</c:v>
                </c:pt>
              </c:numCache>
            </c:numRef>
          </c:xVal>
          <c:yVal>
            <c:numRef>
              <c:f>'Mass vs Cost '!$X$4:$X$105</c:f>
              <c:numCache>
                <c:formatCode>"$"#,##0.00_);\("$"#,##0.00\)</c:formatCode>
                <c:ptCount val="102"/>
                <c:pt idx="0">
                  <c:v>5670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30968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34413</c:v>
                </c:pt>
                <c:pt idx="95">
                  <c:v>98363</c:v>
                </c:pt>
                <c:pt idx="96">
                  <c:v>0</c:v>
                </c:pt>
                <c:pt idx="97">
                  <c:v>0</c:v>
                </c:pt>
                <c:pt idx="98">
                  <c:v>0</c:v>
                </c:pt>
                <c:pt idx="99">
                  <c:v>0</c:v>
                </c:pt>
                <c:pt idx="100">
                  <c:v>101152.7</c:v>
                </c:pt>
                <c:pt idx="101">
                  <c:v>0</c:v>
                </c:pt>
              </c:numCache>
            </c:numRef>
          </c:yVal>
          <c:smooth val="0"/>
        </c:ser>
        <c:ser>
          <c:idx val="1"/>
          <c:order val="2"/>
          <c:tx>
            <c:v>Planetary Directed</c:v>
          </c:tx>
          <c:spPr>
            <a:ln w="28575">
              <a:noFill/>
            </a:ln>
          </c:spPr>
          <c:marker>
            <c:spPr>
              <a:solidFill>
                <a:srgbClr val="00B050"/>
              </a:solidFill>
              <a:ln>
                <a:solidFill>
                  <a:srgbClr val="00B050"/>
                </a:solidFill>
              </a:ln>
            </c:spPr>
          </c:marker>
          <c:xVal>
            <c:numRef>
              <c:f>'Mass vs Cost '!$Q$4:$Q$105</c:f>
              <c:numCache>
                <c:formatCode>General</c:formatCode>
                <c:ptCount val="102"/>
                <c:pt idx="0">
                  <c:v>0</c:v>
                </c:pt>
                <c:pt idx="1">
                  <c:v>0</c:v>
                </c:pt>
                <c:pt idx="2">
                  <c:v>0</c:v>
                </c:pt>
                <c:pt idx="3">
                  <c:v>0</c:v>
                </c:pt>
                <c:pt idx="4">
                  <c:v>0</c:v>
                </c:pt>
                <c:pt idx="5">
                  <c:v>0</c:v>
                </c:pt>
                <c:pt idx="6">
                  <c:v>0</c:v>
                </c:pt>
                <c:pt idx="7">
                  <c:v>0</c:v>
                </c:pt>
                <c:pt idx="8">
                  <c:v>23.03</c:v>
                </c:pt>
                <c:pt idx="9">
                  <c:v>155.75</c:v>
                </c:pt>
                <c:pt idx="10">
                  <c:v>39.240000000000009</c:v>
                </c:pt>
                <c:pt idx="11">
                  <c:v>10.3</c:v>
                </c:pt>
                <c:pt idx="12">
                  <c:v>57.7</c:v>
                </c:pt>
                <c:pt idx="13">
                  <c:v>16</c:v>
                </c:pt>
                <c:pt idx="14">
                  <c:v>37.675000000000011</c:v>
                </c:pt>
                <c:pt idx="15">
                  <c:v>37.1</c:v>
                </c:pt>
                <c:pt idx="16">
                  <c:v>0</c:v>
                </c:pt>
                <c:pt idx="17">
                  <c:v>0</c:v>
                </c:pt>
                <c:pt idx="18">
                  <c:v>0</c:v>
                </c:pt>
                <c:pt idx="19">
                  <c:v>0</c:v>
                </c:pt>
                <c:pt idx="20">
                  <c:v>0</c:v>
                </c:pt>
                <c:pt idx="21">
                  <c:v>0</c:v>
                </c:pt>
                <c:pt idx="22">
                  <c:v>0</c:v>
                </c:pt>
                <c:pt idx="23">
                  <c:v>0</c:v>
                </c:pt>
                <c:pt idx="24">
                  <c:v>0</c:v>
                </c:pt>
                <c:pt idx="25">
                  <c:v>10.471</c:v>
                </c:pt>
                <c:pt idx="26">
                  <c:v>7.2</c:v>
                </c:pt>
                <c:pt idx="27">
                  <c:v>18.130000000000031</c:v>
                </c:pt>
                <c:pt idx="28">
                  <c:v>13.2</c:v>
                </c:pt>
                <c:pt idx="29">
                  <c:v>5.2089999999999996</c:v>
                </c:pt>
                <c:pt idx="30">
                  <c:v>7.1379999999999946</c:v>
                </c:pt>
                <c:pt idx="31">
                  <c:v>27.95</c:v>
                </c:pt>
                <c:pt idx="32">
                  <c:v>5.1769999999999996</c:v>
                </c:pt>
                <c:pt idx="33">
                  <c:v>0</c:v>
                </c:pt>
                <c:pt idx="34">
                  <c:v>0</c:v>
                </c:pt>
                <c:pt idx="35">
                  <c:v>0</c:v>
                </c:pt>
                <c:pt idx="36">
                  <c:v>0</c:v>
                </c:pt>
                <c:pt idx="37">
                  <c:v>0</c:v>
                </c:pt>
                <c:pt idx="38">
                  <c:v>0</c:v>
                </c:pt>
                <c:pt idx="39">
                  <c:v>0</c:v>
                </c:pt>
                <c:pt idx="40">
                  <c:v>12.58</c:v>
                </c:pt>
                <c:pt idx="41">
                  <c:v>11.9</c:v>
                </c:pt>
                <c:pt idx="42">
                  <c:v>260.25</c:v>
                </c:pt>
                <c:pt idx="43">
                  <c:v>18.044</c:v>
                </c:pt>
                <c:pt idx="44">
                  <c:v>5.2</c:v>
                </c:pt>
                <c:pt idx="45">
                  <c:v>26</c:v>
                </c:pt>
                <c:pt idx="46">
                  <c:v>23.6</c:v>
                </c:pt>
                <c:pt idx="47">
                  <c:v>24.79</c:v>
                </c:pt>
                <c:pt idx="48">
                  <c:v>44.06636363636364</c:v>
                </c:pt>
                <c:pt idx="49">
                  <c:v>14.35909090909097</c:v>
                </c:pt>
                <c:pt idx="50">
                  <c:v>30.5</c:v>
                </c:pt>
                <c:pt idx="51">
                  <c:v>3.3094329896906971</c:v>
                </c:pt>
                <c:pt idx="52">
                  <c:v>13</c:v>
                </c:pt>
                <c:pt idx="53">
                  <c:v>33.1</c:v>
                </c:pt>
                <c:pt idx="54">
                  <c:v>3.37</c:v>
                </c:pt>
                <c:pt idx="55">
                  <c:v>65.100000000000009</c:v>
                </c:pt>
                <c:pt idx="56">
                  <c:v>1.04</c:v>
                </c:pt>
                <c:pt idx="57">
                  <c:v>8.98</c:v>
                </c:pt>
                <c:pt idx="58">
                  <c:v>2.8499999999999992</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Cost '!$R$4:$R$105</c:f>
              <c:numCache>
                <c:formatCode>"$"#,##0.00_);\("$"#,##0.00\)</c:formatCode>
                <c:ptCount val="102"/>
                <c:pt idx="0">
                  <c:v>0</c:v>
                </c:pt>
                <c:pt idx="1">
                  <c:v>0</c:v>
                </c:pt>
                <c:pt idx="2">
                  <c:v>0</c:v>
                </c:pt>
                <c:pt idx="3">
                  <c:v>0</c:v>
                </c:pt>
                <c:pt idx="4">
                  <c:v>0</c:v>
                </c:pt>
                <c:pt idx="5">
                  <c:v>0</c:v>
                </c:pt>
                <c:pt idx="6">
                  <c:v>0</c:v>
                </c:pt>
                <c:pt idx="7">
                  <c:v>0</c:v>
                </c:pt>
                <c:pt idx="8">
                  <c:v>25000</c:v>
                </c:pt>
                <c:pt idx="9">
                  <c:v>104437</c:v>
                </c:pt>
                <c:pt idx="10">
                  <c:v>44962</c:v>
                </c:pt>
                <c:pt idx="11">
                  <c:v>19938</c:v>
                </c:pt>
                <c:pt idx="12">
                  <c:v>65370</c:v>
                </c:pt>
                <c:pt idx="13">
                  <c:v>26486</c:v>
                </c:pt>
                <c:pt idx="14">
                  <c:v>20576</c:v>
                </c:pt>
                <c:pt idx="15">
                  <c:v>38356</c:v>
                </c:pt>
                <c:pt idx="16">
                  <c:v>0</c:v>
                </c:pt>
                <c:pt idx="17">
                  <c:v>0</c:v>
                </c:pt>
                <c:pt idx="18">
                  <c:v>0</c:v>
                </c:pt>
                <c:pt idx="19">
                  <c:v>0</c:v>
                </c:pt>
                <c:pt idx="20">
                  <c:v>0</c:v>
                </c:pt>
                <c:pt idx="21">
                  <c:v>0</c:v>
                </c:pt>
                <c:pt idx="22">
                  <c:v>0</c:v>
                </c:pt>
                <c:pt idx="23">
                  <c:v>0</c:v>
                </c:pt>
                <c:pt idx="24">
                  <c:v>0</c:v>
                </c:pt>
                <c:pt idx="25">
                  <c:v>20183</c:v>
                </c:pt>
                <c:pt idx="26">
                  <c:v>9570</c:v>
                </c:pt>
                <c:pt idx="27">
                  <c:v>39750</c:v>
                </c:pt>
                <c:pt idx="28">
                  <c:v>15413</c:v>
                </c:pt>
                <c:pt idx="29">
                  <c:v>16652.5</c:v>
                </c:pt>
                <c:pt idx="30">
                  <c:v>9064.5</c:v>
                </c:pt>
                <c:pt idx="31">
                  <c:v>48740</c:v>
                </c:pt>
                <c:pt idx="32">
                  <c:v>9712</c:v>
                </c:pt>
                <c:pt idx="33">
                  <c:v>0</c:v>
                </c:pt>
                <c:pt idx="34">
                  <c:v>0</c:v>
                </c:pt>
                <c:pt idx="35">
                  <c:v>0</c:v>
                </c:pt>
                <c:pt idx="36">
                  <c:v>0</c:v>
                </c:pt>
                <c:pt idx="37">
                  <c:v>0</c:v>
                </c:pt>
                <c:pt idx="38">
                  <c:v>0</c:v>
                </c:pt>
                <c:pt idx="39">
                  <c:v>0</c:v>
                </c:pt>
                <c:pt idx="40">
                  <c:v>27109.780000000021</c:v>
                </c:pt>
                <c:pt idx="41">
                  <c:v>13773</c:v>
                </c:pt>
                <c:pt idx="42">
                  <c:v>210587</c:v>
                </c:pt>
                <c:pt idx="43">
                  <c:v>34527</c:v>
                </c:pt>
                <c:pt idx="44">
                  <c:v>0</c:v>
                </c:pt>
                <c:pt idx="45">
                  <c:v>48023</c:v>
                </c:pt>
                <c:pt idx="46">
                  <c:v>32041</c:v>
                </c:pt>
                <c:pt idx="47">
                  <c:v>35720</c:v>
                </c:pt>
                <c:pt idx="48">
                  <c:v>48839.3</c:v>
                </c:pt>
                <c:pt idx="49">
                  <c:v>33691</c:v>
                </c:pt>
                <c:pt idx="50">
                  <c:v>30347.7</c:v>
                </c:pt>
                <c:pt idx="51">
                  <c:v>3696</c:v>
                </c:pt>
                <c:pt idx="52">
                  <c:v>16940.03</c:v>
                </c:pt>
                <c:pt idx="53">
                  <c:v>30614.53</c:v>
                </c:pt>
                <c:pt idx="54">
                  <c:v>5686.27</c:v>
                </c:pt>
                <c:pt idx="55">
                  <c:v>49843.199999999997</c:v>
                </c:pt>
                <c:pt idx="56">
                  <c:v>3427</c:v>
                </c:pt>
                <c:pt idx="57">
                  <c:v>14009.34</c:v>
                </c:pt>
                <c:pt idx="58">
                  <c:v>5660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5"/>
          <c:order val="3"/>
          <c:tx>
            <c:v>Planetary Competed</c:v>
          </c:tx>
          <c:spPr>
            <a:ln w="28575">
              <a:noFill/>
            </a:ln>
          </c:spPr>
          <c:marker>
            <c:symbol val="square"/>
            <c:size val="7"/>
            <c:spPr>
              <a:noFill/>
              <a:ln>
                <a:solidFill>
                  <a:srgbClr val="00B050"/>
                </a:solidFill>
              </a:ln>
            </c:spPr>
          </c:marker>
          <c:xVal>
            <c:numRef>
              <c:f>'Mass vs Cost '!$Y$4:$Y$105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10.5</c:v>
                </c:pt>
                <c:pt idx="19">
                  <c:v>52.48</c:v>
                </c:pt>
                <c:pt idx="20">
                  <c:v>17.899999999999999</c:v>
                </c:pt>
                <c:pt idx="21">
                  <c:v>19.399999999999999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3.4</c:v>
                </c:pt>
                <c:pt idx="60">
                  <c:v>12.7</c:v>
                </c:pt>
                <c:pt idx="61">
                  <c:v>3.58</c:v>
                </c:pt>
                <c:pt idx="62">
                  <c:v>3.1</c:v>
                </c:pt>
                <c:pt idx="63">
                  <c:v>11.03</c:v>
                </c:pt>
                <c:pt idx="64">
                  <c:v>7.4</c:v>
                </c:pt>
                <c:pt idx="65">
                  <c:v>6.6</c:v>
                </c:pt>
                <c:pt idx="66">
                  <c:v>1.5920000000000001</c:v>
                </c:pt>
                <c:pt idx="67">
                  <c:v>10.7</c:v>
                </c:pt>
                <c:pt idx="68">
                  <c:v>15.6</c:v>
                </c:pt>
                <c:pt idx="69">
                  <c:v>8.6</c:v>
                </c:pt>
                <c:pt idx="70">
                  <c:v>3.29</c:v>
                </c:pt>
                <c:pt idx="71">
                  <c:v>12.96600000000001</c:v>
                </c:pt>
                <c:pt idx="72">
                  <c:v>5.4649999999999874</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Cost '!$Z$4:$Z$105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12000</c:v>
                </c:pt>
                <c:pt idx="19">
                  <c:v>23881</c:v>
                </c:pt>
                <c:pt idx="20">
                  <c:v>13338</c:v>
                </c:pt>
                <c:pt idx="21">
                  <c:v>17177.5999999999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10867.43</c:v>
                </c:pt>
                <c:pt idx="60">
                  <c:v>13580.66</c:v>
                </c:pt>
                <c:pt idx="61">
                  <c:v>4242.54</c:v>
                </c:pt>
                <c:pt idx="62">
                  <c:v>6223</c:v>
                </c:pt>
                <c:pt idx="63">
                  <c:v>17484.79</c:v>
                </c:pt>
                <c:pt idx="64">
                  <c:v>12039</c:v>
                </c:pt>
                <c:pt idx="65">
                  <c:v>8132.3200000000024</c:v>
                </c:pt>
                <c:pt idx="66">
                  <c:v>4700.75</c:v>
                </c:pt>
                <c:pt idx="67">
                  <c:v>8242</c:v>
                </c:pt>
                <c:pt idx="68">
                  <c:v>6822</c:v>
                </c:pt>
                <c:pt idx="69">
                  <c:v>10265.92</c:v>
                </c:pt>
                <c:pt idx="70">
                  <c:v>6238</c:v>
                </c:pt>
                <c:pt idx="71">
                  <c:v>10460</c:v>
                </c:pt>
                <c:pt idx="72">
                  <c:v>5130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2"/>
          <c:order val="4"/>
          <c:tx>
            <c:v>Helio Directed</c:v>
          </c:tx>
          <c:spPr>
            <a:ln w="28575">
              <a:noFill/>
            </a:ln>
          </c:spPr>
          <c:marker>
            <c:symbol val="circle"/>
            <c:size val="7"/>
            <c:spPr>
              <a:solidFill>
                <a:srgbClr val="FFC000"/>
              </a:solidFill>
              <a:ln>
                <a:solidFill>
                  <a:srgbClr val="FFC000"/>
                </a:solidFill>
              </a:ln>
            </c:spPr>
          </c:marker>
          <c:xVal>
            <c:numRef>
              <c:f>'Mass vs Cost '!$S$4:$S$105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13.5</c:v>
                </c:pt>
                <c:pt idx="90">
                  <c:v>0</c:v>
                </c:pt>
                <c:pt idx="91">
                  <c:v>0</c:v>
                </c:pt>
                <c:pt idx="92">
                  <c:v>0</c:v>
                </c:pt>
                <c:pt idx="93">
                  <c:v>0</c:v>
                </c:pt>
                <c:pt idx="94">
                  <c:v>0</c:v>
                </c:pt>
                <c:pt idx="95">
                  <c:v>0</c:v>
                </c:pt>
                <c:pt idx="96">
                  <c:v>5.8</c:v>
                </c:pt>
                <c:pt idx="97">
                  <c:v>5.5839999999999996</c:v>
                </c:pt>
                <c:pt idx="98">
                  <c:v>6.7</c:v>
                </c:pt>
                <c:pt idx="99">
                  <c:v>7.4</c:v>
                </c:pt>
                <c:pt idx="100">
                  <c:v>0</c:v>
                </c:pt>
                <c:pt idx="101">
                  <c:v>0</c:v>
                </c:pt>
              </c:numCache>
            </c:numRef>
          </c:xVal>
          <c:yVal>
            <c:numRef>
              <c:f>'Mass vs Cost '!$T$4:$T$105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12168</c:v>
                </c:pt>
                <c:pt idx="90">
                  <c:v>0</c:v>
                </c:pt>
                <c:pt idx="91">
                  <c:v>0</c:v>
                </c:pt>
                <c:pt idx="92">
                  <c:v>0</c:v>
                </c:pt>
                <c:pt idx="93">
                  <c:v>0</c:v>
                </c:pt>
                <c:pt idx="94">
                  <c:v>0</c:v>
                </c:pt>
                <c:pt idx="95">
                  <c:v>0</c:v>
                </c:pt>
                <c:pt idx="96">
                  <c:v>14321</c:v>
                </c:pt>
                <c:pt idx="97">
                  <c:v>8320</c:v>
                </c:pt>
                <c:pt idx="98">
                  <c:v>0</c:v>
                </c:pt>
                <c:pt idx="99">
                  <c:v>18484</c:v>
                </c:pt>
                <c:pt idx="100">
                  <c:v>0</c:v>
                </c:pt>
                <c:pt idx="101">
                  <c:v>0</c:v>
                </c:pt>
              </c:numCache>
            </c:numRef>
          </c:yVal>
          <c:smooth val="0"/>
        </c:ser>
        <c:ser>
          <c:idx val="6"/>
          <c:order val="5"/>
          <c:tx>
            <c:v>Helio Competed</c:v>
          </c:tx>
          <c:spPr>
            <a:ln w="28575">
              <a:noFill/>
            </a:ln>
          </c:spPr>
          <c:marker>
            <c:symbol val="circle"/>
            <c:size val="7"/>
            <c:spPr>
              <a:noFill/>
              <a:ln>
                <a:solidFill>
                  <a:srgbClr val="FFC000"/>
                </a:solidFill>
              </a:ln>
            </c:spPr>
          </c:marker>
          <c:xVal>
            <c:numRef>
              <c:f>'Mass vs Cost '!$AA$4:$AA$105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12.2</c:v>
                </c:pt>
                <c:pt idx="93">
                  <c:v>0</c:v>
                </c:pt>
                <c:pt idx="94">
                  <c:v>0</c:v>
                </c:pt>
                <c:pt idx="95">
                  <c:v>0</c:v>
                </c:pt>
                <c:pt idx="96">
                  <c:v>0</c:v>
                </c:pt>
                <c:pt idx="97">
                  <c:v>0</c:v>
                </c:pt>
                <c:pt idx="98">
                  <c:v>0</c:v>
                </c:pt>
                <c:pt idx="99">
                  <c:v>0</c:v>
                </c:pt>
                <c:pt idx="100">
                  <c:v>0</c:v>
                </c:pt>
                <c:pt idx="101">
                  <c:v>2.6</c:v>
                </c:pt>
              </c:numCache>
            </c:numRef>
          </c:xVal>
          <c:yVal>
            <c:numRef>
              <c:f>'Mass vs Cost '!$AB$4:$AB$105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1204.6099999999999</c:v>
                </c:pt>
                <c:pt idx="89">
                  <c:v>0</c:v>
                </c:pt>
                <c:pt idx="90">
                  <c:v>0</c:v>
                </c:pt>
                <c:pt idx="91">
                  <c:v>0</c:v>
                </c:pt>
                <c:pt idx="92">
                  <c:v>6140</c:v>
                </c:pt>
                <c:pt idx="93">
                  <c:v>0</c:v>
                </c:pt>
                <c:pt idx="94">
                  <c:v>0</c:v>
                </c:pt>
                <c:pt idx="95">
                  <c:v>0</c:v>
                </c:pt>
                <c:pt idx="96">
                  <c:v>0</c:v>
                </c:pt>
                <c:pt idx="97">
                  <c:v>0</c:v>
                </c:pt>
                <c:pt idx="98">
                  <c:v>0</c:v>
                </c:pt>
                <c:pt idx="99">
                  <c:v>0</c:v>
                </c:pt>
                <c:pt idx="100">
                  <c:v>0</c:v>
                </c:pt>
                <c:pt idx="101">
                  <c:v>2893</c:v>
                </c:pt>
              </c:numCache>
            </c:numRef>
          </c:yVal>
          <c:smooth val="0"/>
        </c:ser>
        <c:ser>
          <c:idx val="3"/>
          <c:order val="6"/>
          <c:tx>
            <c:v>Astro Directed</c:v>
          </c:tx>
          <c:spPr>
            <a:ln w="28575">
              <a:noFill/>
            </a:ln>
          </c:spPr>
          <c:marker>
            <c:symbol val="triangle"/>
            <c:size val="7"/>
            <c:spPr>
              <a:solidFill>
                <a:srgbClr val="7030A0"/>
              </a:solidFill>
              <a:ln>
                <a:solidFill>
                  <a:srgbClr val="7030A0"/>
                </a:solidFill>
              </a:ln>
            </c:spPr>
          </c:marker>
          <c:xVal>
            <c:numRef>
              <c:f>'Mass vs Cost '!$U$4:$U$105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108.2</c:v>
                </c:pt>
                <c:pt idx="17">
                  <c:v>8.2299999999999986</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292</c:v>
                </c:pt>
                <c:pt idx="37">
                  <c:v>281.2</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273</c:v>
                </c:pt>
                <c:pt idx="84">
                  <c:v>373.6</c:v>
                </c:pt>
                <c:pt idx="85">
                  <c:v>29.064</c:v>
                </c:pt>
                <c:pt idx="86">
                  <c:v>39.5</c:v>
                </c:pt>
                <c:pt idx="87">
                  <c:v>33.336000000000013</c:v>
                </c:pt>
                <c:pt idx="88">
                  <c:v>0</c:v>
                </c:pt>
                <c:pt idx="89">
                  <c:v>0</c:v>
                </c:pt>
                <c:pt idx="90">
                  <c:v>0</c:v>
                </c:pt>
                <c:pt idx="91">
                  <c:v>0</c:v>
                </c:pt>
                <c:pt idx="92">
                  <c:v>0</c:v>
                </c:pt>
                <c:pt idx="93">
                  <c:v>341.3</c:v>
                </c:pt>
                <c:pt idx="94">
                  <c:v>0</c:v>
                </c:pt>
                <c:pt idx="95">
                  <c:v>0</c:v>
                </c:pt>
                <c:pt idx="96">
                  <c:v>0</c:v>
                </c:pt>
                <c:pt idx="97">
                  <c:v>0</c:v>
                </c:pt>
                <c:pt idx="98">
                  <c:v>0</c:v>
                </c:pt>
                <c:pt idx="99">
                  <c:v>0</c:v>
                </c:pt>
                <c:pt idx="100">
                  <c:v>0</c:v>
                </c:pt>
                <c:pt idx="101">
                  <c:v>0</c:v>
                </c:pt>
              </c:numCache>
            </c:numRef>
          </c:xVal>
          <c:yVal>
            <c:numRef>
              <c:f>'Mass vs Cost '!$V$4:$V$105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94261</c:v>
                </c:pt>
                <c:pt idx="17">
                  <c:v>22597</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159360</c:v>
                </c:pt>
                <c:pt idx="37">
                  <c:v>156860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100504</c:v>
                </c:pt>
                <c:pt idx="84">
                  <c:v>112408</c:v>
                </c:pt>
                <c:pt idx="85">
                  <c:v>37762.36</c:v>
                </c:pt>
                <c:pt idx="86">
                  <c:v>41406</c:v>
                </c:pt>
                <c:pt idx="87">
                  <c:v>44685.77</c:v>
                </c:pt>
                <c:pt idx="88">
                  <c:v>0</c:v>
                </c:pt>
                <c:pt idx="89">
                  <c:v>0</c:v>
                </c:pt>
                <c:pt idx="90">
                  <c:v>0</c:v>
                </c:pt>
                <c:pt idx="91">
                  <c:v>0</c:v>
                </c:pt>
                <c:pt idx="92">
                  <c:v>0</c:v>
                </c:pt>
                <c:pt idx="93">
                  <c:v>129901</c:v>
                </c:pt>
                <c:pt idx="94">
                  <c:v>0</c:v>
                </c:pt>
                <c:pt idx="95">
                  <c:v>0</c:v>
                </c:pt>
                <c:pt idx="96">
                  <c:v>0</c:v>
                </c:pt>
                <c:pt idx="97">
                  <c:v>0</c:v>
                </c:pt>
                <c:pt idx="98">
                  <c:v>0</c:v>
                </c:pt>
                <c:pt idx="99">
                  <c:v>0</c:v>
                </c:pt>
                <c:pt idx="100">
                  <c:v>0</c:v>
                </c:pt>
                <c:pt idx="101">
                  <c:v>0</c:v>
                </c:pt>
              </c:numCache>
            </c:numRef>
          </c:yVal>
          <c:smooth val="0"/>
        </c:ser>
        <c:ser>
          <c:idx val="7"/>
          <c:order val="7"/>
          <c:tx>
            <c:v>Astro Competed</c:v>
          </c:tx>
          <c:spPr>
            <a:ln w="28575">
              <a:noFill/>
            </a:ln>
          </c:spPr>
          <c:marker>
            <c:symbol val="triangle"/>
            <c:size val="7"/>
            <c:spPr>
              <a:noFill/>
              <a:ln>
                <a:solidFill>
                  <a:srgbClr val="7030A0"/>
                </a:solidFill>
              </a:ln>
            </c:spPr>
          </c:marker>
          <c:xVal>
            <c:numRef>
              <c:f>'Mass vs Cost '!$AC$4:$AC$5</c:f>
              <c:numCache>
                <c:formatCode>General</c:formatCode>
                <c:ptCount val="2"/>
                <c:pt idx="0">
                  <c:v>0</c:v>
                </c:pt>
                <c:pt idx="1">
                  <c:v>0</c:v>
                </c:pt>
              </c:numCache>
            </c:numRef>
          </c:xVal>
          <c:yVal>
            <c:numRef>
              <c:f>'Mass vs Cost '!$AD$4:$AD$105</c:f>
              <c:numCache>
                <c:formatCode>"$"#,##0.00_);\("$"#,##0.00\)</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23662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dLbls>
          <c:showLegendKey val="0"/>
          <c:showVal val="0"/>
          <c:showCatName val="0"/>
          <c:showSerName val="0"/>
          <c:showPercent val="0"/>
          <c:showBubbleSize val="0"/>
        </c:dLbls>
        <c:axId val="273948064"/>
        <c:axId val="273948456"/>
      </c:scatterChart>
      <c:valAx>
        <c:axId val="273948064"/>
        <c:scaling>
          <c:logBase val="10"/>
          <c:orientation val="minMax"/>
          <c:max val="1000"/>
          <c:min val="0.1"/>
        </c:scaling>
        <c:delete val="0"/>
        <c:axPos val="b"/>
        <c:majorGridlines/>
        <c:minorGridlines/>
        <c:title>
          <c:tx>
            <c:rich>
              <a:bodyPr/>
              <a:lstStyle/>
              <a:p>
                <a:pPr>
                  <a:defRPr/>
                </a:pPr>
                <a:r>
                  <a:rPr lang="en-US"/>
                  <a:t>Instrument Mass (kg)</a:t>
                </a:r>
              </a:p>
            </c:rich>
          </c:tx>
          <c:overlay val="0"/>
        </c:title>
        <c:numFmt formatCode="General" sourceLinked="1"/>
        <c:majorTickMark val="out"/>
        <c:minorTickMark val="none"/>
        <c:tickLblPos val="nextTo"/>
        <c:crossAx val="273948456"/>
        <c:crosses val="autoZero"/>
        <c:crossBetween val="midCat"/>
      </c:valAx>
      <c:valAx>
        <c:axId val="273948456"/>
        <c:scaling>
          <c:logBase val="10"/>
          <c:orientation val="minMax"/>
          <c:min val="1000"/>
        </c:scaling>
        <c:delete val="0"/>
        <c:axPos val="l"/>
        <c:majorGridlines/>
        <c:minorGridlines/>
        <c:title>
          <c:tx>
            <c:rich>
              <a:bodyPr rot="-5400000" vert="horz"/>
              <a:lstStyle/>
              <a:p>
                <a:pPr>
                  <a:defRPr/>
                </a:pPr>
                <a:r>
                  <a:rPr lang="en-US"/>
                  <a:t>Total Development Cost ($M FY04)</a:t>
                </a:r>
              </a:p>
            </c:rich>
          </c:tx>
          <c:overlay val="0"/>
        </c:title>
        <c:numFmt formatCode="#,##0" sourceLinked="0"/>
        <c:majorTickMark val="out"/>
        <c:minorTickMark val="none"/>
        <c:tickLblPos val="nextTo"/>
        <c:crossAx val="273948064"/>
        <c:crossesAt val="0.1"/>
        <c:crossBetween val="midCat"/>
        <c:dispUnits>
          <c:builtInUnit val="thousands"/>
        </c:dispUnits>
      </c:valAx>
    </c:plotArea>
    <c:legend>
      <c:legendPos val="r"/>
      <c:overlay val="0"/>
    </c:legend>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Earth Directed</c:v>
          </c:tx>
          <c:spPr>
            <a:ln w="28575">
              <a:noFill/>
            </a:ln>
          </c:spPr>
          <c:marker>
            <c:symbol val="diamond"/>
            <c:size val="7"/>
            <c:spPr>
              <a:solidFill>
                <a:srgbClr val="00B0F0"/>
              </a:solidFill>
            </c:spPr>
          </c:marker>
          <c:dPt>
            <c:idx val="4"/>
            <c:marker>
              <c:spPr>
                <a:solidFill>
                  <a:srgbClr val="00B0F0"/>
                </a:solidFill>
                <a:ln>
                  <a:solidFill>
                    <a:srgbClr val="00B0F0"/>
                  </a:solidFill>
                </a:ln>
              </c:spPr>
            </c:marker>
            <c:bubble3D val="0"/>
          </c:dPt>
          <c:xVal>
            <c:numRef>
              <c:f>'Mass vs Power'!$O$4:$O$105</c:f>
              <c:numCache>
                <c:formatCode>General</c:formatCode>
                <c:ptCount val="102"/>
                <c:pt idx="0">
                  <c:v>0</c:v>
                </c:pt>
                <c:pt idx="1">
                  <c:v>0</c:v>
                </c:pt>
                <c:pt idx="2">
                  <c:v>0</c:v>
                </c:pt>
                <c:pt idx="3">
                  <c:v>177.2</c:v>
                </c:pt>
                <c:pt idx="4">
                  <c:v>100</c:v>
                </c:pt>
                <c:pt idx="5">
                  <c:v>451</c:v>
                </c:pt>
                <c:pt idx="6">
                  <c:v>328.13</c:v>
                </c:pt>
                <c:pt idx="7">
                  <c:v>220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306.87</c:v>
                </c:pt>
                <c:pt idx="39">
                  <c:v>24</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22.7</c:v>
                </c:pt>
                <c:pt idx="74">
                  <c:v>11.9</c:v>
                </c:pt>
                <c:pt idx="75">
                  <c:v>12.18</c:v>
                </c:pt>
                <c:pt idx="76">
                  <c:v>33.299999999999997</c:v>
                </c:pt>
                <c:pt idx="77">
                  <c:v>5.1659999999999746</c:v>
                </c:pt>
                <c:pt idx="78">
                  <c:v>24.5</c:v>
                </c:pt>
                <c:pt idx="79">
                  <c:v>18.399999999999999</c:v>
                </c:pt>
                <c:pt idx="80">
                  <c:v>17.16</c:v>
                </c:pt>
                <c:pt idx="81">
                  <c:v>15.7</c:v>
                </c:pt>
                <c:pt idx="82">
                  <c:v>0</c:v>
                </c:pt>
                <c:pt idx="83">
                  <c:v>0</c:v>
                </c:pt>
                <c:pt idx="84">
                  <c:v>0</c:v>
                </c:pt>
                <c:pt idx="85">
                  <c:v>0</c:v>
                </c:pt>
                <c:pt idx="86">
                  <c:v>0</c:v>
                </c:pt>
                <c:pt idx="87">
                  <c:v>0</c:v>
                </c:pt>
                <c:pt idx="88">
                  <c:v>0</c:v>
                </c:pt>
                <c:pt idx="89">
                  <c:v>0</c:v>
                </c:pt>
                <c:pt idx="90">
                  <c:v>148</c:v>
                </c:pt>
                <c:pt idx="91">
                  <c:v>228.6</c:v>
                </c:pt>
                <c:pt idx="92">
                  <c:v>0</c:v>
                </c:pt>
                <c:pt idx="93">
                  <c:v>0</c:v>
                </c:pt>
                <c:pt idx="94">
                  <c:v>0</c:v>
                </c:pt>
                <c:pt idx="95">
                  <c:v>0</c:v>
                </c:pt>
                <c:pt idx="96">
                  <c:v>0</c:v>
                </c:pt>
                <c:pt idx="97">
                  <c:v>0</c:v>
                </c:pt>
                <c:pt idx="98">
                  <c:v>0</c:v>
                </c:pt>
                <c:pt idx="99">
                  <c:v>0</c:v>
                </c:pt>
                <c:pt idx="100">
                  <c:v>0</c:v>
                </c:pt>
                <c:pt idx="101">
                  <c:v>0</c:v>
                </c:pt>
              </c:numCache>
            </c:numRef>
          </c:xVal>
          <c:yVal>
            <c:numRef>
              <c:f>'Mass vs Power'!$P$4:$P$105</c:f>
              <c:numCache>
                <c:formatCode>General</c:formatCode>
                <c:ptCount val="102"/>
                <c:pt idx="0">
                  <c:v>0</c:v>
                </c:pt>
                <c:pt idx="1">
                  <c:v>0</c:v>
                </c:pt>
                <c:pt idx="2">
                  <c:v>0</c:v>
                </c:pt>
                <c:pt idx="3">
                  <c:v>243.5</c:v>
                </c:pt>
                <c:pt idx="4">
                  <c:v>110</c:v>
                </c:pt>
                <c:pt idx="5">
                  <c:v>531</c:v>
                </c:pt>
                <c:pt idx="6">
                  <c:v>248.58</c:v>
                </c:pt>
                <c:pt idx="7">
                  <c:v>239</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349</c:v>
                </c:pt>
                <c:pt idx="39">
                  <c:v>31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22</c:v>
                </c:pt>
                <c:pt idx="74">
                  <c:v>7.6</c:v>
                </c:pt>
                <c:pt idx="75">
                  <c:v>0</c:v>
                </c:pt>
                <c:pt idx="76">
                  <c:v>3.9</c:v>
                </c:pt>
                <c:pt idx="77">
                  <c:v>6.2</c:v>
                </c:pt>
                <c:pt idx="78">
                  <c:v>11</c:v>
                </c:pt>
                <c:pt idx="79">
                  <c:v>21.95999999999999</c:v>
                </c:pt>
                <c:pt idx="80">
                  <c:v>10</c:v>
                </c:pt>
                <c:pt idx="81">
                  <c:v>13.7</c:v>
                </c:pt>
                <c:pt idx="82">
                  <c:v>0</c:v>
                </c:pt>
                <c:pt idx="83">
                  <c:v>0</c:v>
                </c:pt>
                <c:pt idx="84">
                  <c:v>0</c:v>
                </c:pt>
                <c:pt idx="85">
                  <c:v>0</c:v>
                </c:pt>
                <c:pt idx="86">
                  <c:v>0</c:v>
                </c:pt>
                <c:pt idx="87">
                  <c:v>0</c:v>
                </c:pt>
                <c:pt idx="88">
                  <c:v>0</c:v>
                </c:pt>
                <c:pt idx="89">
                  <c:v>0</c:v>
                </c:pt>
                <c:pt idx="90">
                  <c:v>117</c:v>
                </c:pt>
                <c:pt idx="91">
                  <c:v>205</c:v>
                </c:pt>
                <c:pt idx="92">
                  <c:v>0</c:v>
                </c:pt>
                <c:pt idx="93">
                  <c:v>0</c:v>
                </c:pt>
                <c:pt idx="94">
                  <c:v>0</c:v>
                </c:pt>
                <c:pt idx="95">
                  <c:v>0</c:v>
                </c:pt>
                <c:pt idx="96">
                  <c:v>0</c:v>
                </c:pt>
                <c:pt idx="97">
                  <c:v>0</c:v>
                </c:pt>
                <c:pt idx="98">
                  <c:v>0</c:v>
                </c:pt>
                <c:pt idx="99">
                  <c:v>0</c:v>
                </c:pt>
                <c:pt idx="100">
                  <c:v>0</c:v>
                </c:pt>
                <c:pt idx="101">
                  <c:v>0</c:v>
                </c:pt>
              </c:numCache>
            </c:numRef>
          </c:yVal>
          <c:smooth val="0"/>
        </c:ser>
        <c:ser>
          <c:idx val="4"/>
          <c:order val="1"/>
          <c:tx>
            <c:v>Earth Competed</c:v>
          </c:tx>
          <c:spPr>
            <a:ln w="28575">
              <a:noFill/>
            </a:ln>
          </c:spPr>
          <c:marker>
            <c:symbol val="diamond"/>
            <c:size val="7"/>
            <c:spPr>
              <a:noFill/>
              <a:ln>
                <a:solidFill>
                  <a:srgbClr val="00B0F0"/>
                </a:solidFill>
              </a:ln>
            </c:spPr>
          </c:marker>
          <c:xVal>
            <c:numRef>
              <c:f>'Mass vs Power'!$W$4:$W$105</c:f>
              <c:numCache>
                <c:formatCode>General</c:formatCode>
                <c:ptCount val="102"/>
                <c:pt idx="0">
                  <c:v>13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47.28</c:v>
                </c:pt>
                <c:pt idx="95">
                  <c:v>219.6</c:v>
                </c:pt>
                <c:pt idx="96">
                  <c:v>0</c:v>
                </c:pt>
                <c:pt idx="97">
                  <c:v>0</c:v>
                </c:pt>
                <c:pt idx="98">
                  <c:v>0</c:v>
                </c:pt>
                <c:pt idx="99">
                  <c:v>0</c:v>
                </c:pt>
                <c:pt idx="100">
                  <c:v>283</c:v>
                </c:pt>
                <c:pt idx="101">
                  <c:v>0</c:v>
                </c:pt>
              </c:numCache>
            </c:numRef>
          </c:xVal>
          <c:yVal>
            <c:numRef>
              <c:f>'Mass vs Power'!$X$4:$X$105</c:f>
              <c:numCache>
                <c:formatCode>General</c:formatCode>
                <c:ptCount val="102"/>
                <c:pt idx="0">
                  <c:v>10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66.599999999999994</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26</c:v>
                </c:pt>
                <c:pt idx="95">
                  <c:v>237</c:v>
                </c:pt>
                <c:pt idx="96">
                  <c:v>0</c:v>
                </c:pt>
                <c:pt idx="97">
                  <c:v>0</c:v>
                </c:pt>
                <c:pt idx="98">
                  <c:v>0</c:v>
                </c:pt>
                <c:pt idx="99">
                  <c:v>0</c:v>
                </c:pt>
                <c:pt idx="100">
                  <c:v>200</c:v>
                </c:pt>
                <c:pt idx="101">
                  <c:v>0</c:v>
                </c:pt>
              </c:numCache>
            </c:numRef>
          </c:yVal>
          <c:smooth val="0"/>
        </c:ser>
        <c:ser>
          <c:idx val="1"/>
          <c:order val="2"/>
          <c:tx>
            <c:v>Planetary Directed</c:v>
          </c:tx>
          <c:spPr>
            <a:ln w="28575">
              <a:noFill/>
            </a:ln>
          </c:spPr>
          <c:marker>
            <c:spPr>
              <a:solidFill>
                <a:srgbClr val="00B050"/>
              </a:solidFill>
              <a:ln>
                <a:solidFill>
                  <a:srgbClr val="00B050"/>
                </a:solidFill>
              </a:ln>
            </c:spPr>
          </c:marker>
          <c:xVal>
            <c:numRef>
              <c:f>'Mass vs Power'!$Q$4:$Q$105</c:f>
              <c:numCache>
                <c:formatCode>General</c:formatCode>
                <c:ptCount val="102"/>
                <c:pt idx="0">
                  <c:v>0</c:v>
                </c:pt>
                <c:pt idx="1">
                  <c:v>0</c:v>
                </c:pt>
                <c:pt idx="2">
                  <c:v>0</c:v>
                </c:pt>
                <c:pt idx="3">
                  <c:v>0</c:v>
                </c:pt>
                <c:pt idx="4">
                  <c:v>0</c:v>
                </c:pt>
                <c:pt idx="5">
                  <c:v>0</c:v>
                </c:pt>
                <c:pt idx="6">
                  <c:v>0</c:v>
                </c:pt>
                <c:pt idx="7">
                  <c:v>0</c:v>
                </c:pt>
                <c:pt idx="8">
                  <c:v>23.03</c:v>
                </c:pt>
                <c:pt idx="9">
                  <c:v>155.75</c:v>
                </c:pt>
                <c:pt idx="10">
                  <c:v>39.240000000000009</c:v>
                </c:pt>
                <c:pt idx="11">
                  <c:v>10.3</c:v>
                </c:pt>
                <c:pt idx="12">
                  <c:v>57.7</c:v>
                </c:pt>
                <c:pt idx="13">
                  <c:v>16</c:v>
                </c:pt>
                <c:pt idx="14">
                  <c:v>37.675000000000011</c:v>
                </c:pt>
                <c:pt idx="15">
                  <c:v>37.1</c:v>
                </c:pt>
                <c:pt idx="16">
                  <c:v>0</c:v>
                </c:pt>
                <c:pt idx="17">
                  <c:v>0</c:v>
                </c:pt>
                <c:pt idx="18">
                  <c:v>0</c:v>
                </c:pt>
                <c:pt idx="19">
                  <c:v>0</c:v>
                </c:pt>
                <c:pt idx="20">
                  <c:v>0</c:v>
                </c:pt>
                <c:pt idx="21">
                  <c:v>0</c:v>
                </c:pt>
                <c:pt idx="22">
                  <c:v>0</c:v>
                </c:pt>
                <c:pt idx="23">
                  <c:v>0</c:v>
                </c:pt>
                <c:pt idx="24">
                  <c:v>0</c:v>
                </c:pt>
                <c:pt idx="25">
                  <c:v>10.471</c:v>
                </c:pt>
                <c:pt idx="26">
                  <c:v>7.2</c:v>
                </c:pt>
                <c:pt idx="27">
                  <c:v>18.130000000000031</c:v>
                </c:pt>
                <c:pt idx="28">
                  <c:v>13.2</c:v>
                </c:pt>
                <c:pt idx="29">
                  <c:v>5.2089999999999996</c:v>
                </c:pt>
                <c:pt idx="30">
                  <c:v>7.1379999999999946</c:v>
                </c:pt>
                <c:pt idx="31">
                  <c:v>27.95</c:v>
                </c:pt>
                <c:pt idx="32">
                  <c:v>5.1769999999999996</c:v>
                </c:pt>
                <c:pt idx="33">
                  <c:v>0</c:v>
                </c:pt>
                <c:pt idx="34">
                  <c:v>0</c:v>
                </c:pt>
                <c:pt idx="35">
                  <c:v>0</c:v>
                </c:pt>
                <c:pt idx="36">
                  <c:v>0</c:v>
                </c:pt>
                <c:pt idx="37">
                  <c:v>0</c:v>
                </c:pt>
                <c:pt idx="38">
                  <c:v>0</c:v>
                </c:pt>
                <c:pt idx="39">
                  <c:v>0</c:v>
                </c:pt>
                <c:pt idx="40">
                  <c:v>12.58</c:v>
                </c:pt>
                <c:pt idx="41">
                  <c:v>11.9</c:v>
                </c:pt>
                <c:pt idx="42">
                  <c:v>260.25</c:v>
                </c:pt>
                <c:pt idx="43">
                  <c:v>18.044</c:v>
                </c:pt>
                <c:pt idx="44">
                  <c:v>5.2</c:v>
                </c:pt>
                <c:pt idx="45">
                  <c:v>26</c:v>
                </c:pt>
                <c:pt idx="46">
                  <c:v>23.6</c:v>
                </c:pt>
                <c:pt idx="47">
                  <c:v>24.79</c:v>
                </c:pt>
                <c:pt idx="48">
                  <c:v>44.06636363636364</c:v>
                </c:pt>
                <c:pt idx="49">
                  <c:v>14.35909090909097</c:v>
                </c:pt>
                <c:pt idx="50">
                  <c:v>30.5</c:v>
                </c:pt>
                <c:pt idx="51">
                  <c:v>3.3094329896906971</c:v>
                </c:pt>
                <c:pt idx="52">
                  <c:v>13</c:v>
                </c:pt>
                <c:pt idx="53">
                  <c:v>33.1</c:v>
                </c:pt>
                <c:pt idx="54">
                  <c:v>3.37</c:v>
                </c:pt>
                <c:pt idx="55">
                  <c:v>65.100000000000009</c:v>
                </c:pt>
                <c:pt idx="56">
                  <c:v>1.04</c:v>
                </c:pt>
                <c:pt idx="57">
                  <c:v>8.98</c:v>
                </c:pt>
                <c:pt idx="58">
                  <c:v>2.8499999999999992</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Power'!$R$4:$R$105</c:f>
              <c:numCache>
                <c:formatCode>General</c:formatCode>
                <c:ptCount val="102"/>
                <c:pt idx="0">
                  <c:v>0</c:v>
                </c:pt>
                <c:pt idx="1">
                  <c:v>0</c:v>
                </c:pt>
                <c:pt idx="2">
                  <c:v>0</c:v>
                </c:pt>
                <c:pt idx="3">
                  <c:v>0</c:v>
                </c:pt>
                <c:pt idx="4">
                  <c:v>0</c:v>
                </c:pt>
                <c:pt idx="5">
                  <c:v>0</c:v>
                </c:pt>
                <c:pt idx="6">
                  <c:v>0</c:v>
                </c:pt>
                <c:pt idx="7">
                  <c:v>0</c:v>
                </c:pt>
                <c:pt idx="8">
                  <c:v>21</c:v>
                </c:pt>
                <c:pt idx="9">
                  <c:v>111</c:v>
                </c:pt>
                <c:pt idx="10">
                  <c:v>32.89</c:v>
                </c:pt>
                <c:pt idx="11">
                  <c:v>31.9</c:v>
                </c:pt>
                <c:pt idx="12">
                  <c:v>55.9</c:v>
                </c:pt>
                <c:pt idx="13">
                  <c:v>20.6</c:v>
                </c:pt>
                <c:pt idx="14">
                  <c:v>16.38</c:v>
                </c:pt>
                <c:pt idx="15">
                  <c:v>25.9</c:v>
                </c:pt>
                <c:pt idx="16">
                  <c:v>0</c:v>
                </c:pt>
                <c:pt idx="17">
                  <c:v>0</c:v>
                </c:pt>
                <c:pt idx="18">
                  <c:v>0</c:v>
                </c:pt>
                <c:pt idx="19">
                  <c:v>0</c:v>
                </c:pt>
                <c:pt idx="20">
                  <c:v>0</c:v>
                </c:pt>
                <c:pt idx="21">
                  <c:v>0</c:v>
                </c:pt>
                <c:pt idx="22">
                  <c:v>0</c:v>
                </c:pt>
                <c:pt idx="23">
                  <c:v>0</c:v>
                </c:pt>
                <c:pt idx="24">
                  <c:v>0</c:v>
                </c:pt>
                <c:pt idx="25">
                  <c:v>10</c:v>
                </c:pt>
                <c:pt idx="26">
                  <c:v>7.35</c:v>
                </c:pt>
                <c:pt idx="27">
                  <c:v>13</c:v>
                </c:pt>
                <c:pt idx="28">
                  <c:v>10.7</c:v>
                </c:pt>
                <c:pt idx="29">
                  <c:v>11</c:v>
                </c:pt>
                <c:pt idx="30">
                  <c:v>9.8000000000000007</c:v>
                </c:pt>
                <c:pt idx="31">
                  <c:v>23.5</c:v>
                </c:pt>
                <c:pt idx="32">
                  <c:v>4.72</c:v>
                </c:pt>
                <c:pt idx="33">
                  <c:v>0</c:v>
                </c:pt>
                <c:pt idx="34">
                  <c:v>0</c:v>
                </c:pt>
                <c:pt idx="35">
                  <c:v>0</c:v>
                </c:pt>
                <c:pt idx="36">
                  <c:v>0</c:v>
                </c:pt>
                <c:pt idx="37">
                  <c:v>0</c:v>
                </c:pt>
                <c:pt idx="38">
                  <c:v>0</c:v>
                </c:pt>
                <c:pt idx="39">
                  <c:v>0</c:v>
                </c:pt>
                <c:pt idx="40">
                  <c:v>31.3</c:v>
                </c:pt>
                <c:pt idx="41">
                  <c:v>21.6</c:v>
                </c:pt>
                <c:pt idx="42">
                  <c:v>200</c:v>
                </c:pt>
                <c:pt idx="43">
                  <c:v>39</c:v>
                </c:pt>
                <c:pt idx="44">
                  <c:v>5.94</c:v>
                </c:pt>
                <c:pt idx="45">
                  <c:v>20.3</c:v>
                </c:pt>
                <c:pt idx="46">
                  <c:v>21</c:v>
                </c:pt>
                <c:pt idx="47">
                  <c:v>28.74</c:v>
                </c:pt>
                <c:pt idx="48">
                  <c:v>37</c:v>
                </c:pt>
                <c:pt idx="49">
                  <c:v>19.375</c:v>
                </c:pt>
                <c:pt idx="50">
                  <c:v>36.299999999999997</c:v>
                </c:pt>
                <c:pt idx="51">
                  <c:v>7</c:v>
                </c:pt>
                <c:pt idx="52">
                  <c:v>14</c:v>
                </c:pt>
                <c:pt idx="53">
                  <c:v>46</c:v>
                </c:pt>
                <c:pt idx="54">
                  <c:v>5.8</c:v>
                </c:pt>
                <c:pt idx="55">
                  <c:v>59.7</c:v>
                </c:pt>
                <c:pt idx="56">
                  <c:v>4.5999999999999996</c:v>
                </c:pt>
                <c:pt idx="57">
                  <c:v>16.100000000000001</c:v>
                </c:pt>
                <c:pt idx="58">
                  <c:v>5.35</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5"/>
          <c:order val="3"/>
          <c:tx>
            <c:v>Planetary Competed</c:v>
          </c:tx>
          <c:spPr>
            <a:ln w="28575">
              <a:noFill/>
            </a:ln>
          </c:spPr>
          <c:marker>
            <c:symbol val="square"/>
            <c:size val="7"/>
            <c:spPr>
              <a:noFill/>
              <a:ln>
                <a:solidFill>
                  <a:srgbClr val="00B050"/>
                </a:solidFill>
              </a:ln>
            </c:spPr>
          </c:marker>
          <c:xVal>
            <c:numRef>
              <c:f>'Mass vs Power'!$Y$4:$Y$105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10.5</c:v>
                </c:pt>
                <c:pt idx="19">
                  <c:v>52.48</c:v>
                </c:pt>
                <c:pt idx="20">
                  <c:v>17.899999999999999</c:v>
                </c:pt>
                <c:pt idx="21">
                  <c:v>19.399999999999999</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3.4</c:v>
                </c:pt>
                <c:pt idx="60">
                  <c:v>12.7</c:v>
                </c:pt>
                <c:pt idx="61">
                  <c:v>3.58</c:v>
                </c:pt>
                <c:pt idx="62">
                  <c:v>3.1</c:v>
                </c:pt>
                <c:pt idx="63">
                  <c:v>11.03</c:v>
                </c:pt>
                <c:pt idx="64">
                  <c:v>7.4</c:v>
                </c:pt>
                <c:pt idx="65">
                  <c:v>6.6</c:v>
                </c:pt>
                <c:pt idx="66">
                  <c:v>1.5920000000000001</c:v>
                </c:pt>
                <c:pt idx="67">
                  <c:v>10.7</c:v>
                </c:pt>
                <c:pt idx="68">
                  <c:v>15.6</c:v>
                </c:pt>
                <c:pt idx="69">
                  <c:v>8.6</c:v>
                </c:pt>
                <c:pt idx="70">
                  <c:v>3.29</c:v>
                </c:pt>
                <c:pt idx="71">
                  <c:v>12.96600000000001</c:v>
                </c:pt>
                <c:pt idx="72">
                  <c:v>5.4649999999999874</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xVal>
          <c:yVal>
            <c:numRef>
              <c:f>'Mass vs Power'!$Z$4:$Z$105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15</c:v>
                </c:pt>
                <c:pt idx="19">
                  <c:v>58.2</c:v>
                </c:pt>
                <c:pt idx="20">
                  <c:v>24</c:v>
                </c:pt>
                <c:pt idx="21">
                  <c:v>58.2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7.5</c:v>
                </c:pt>
                <c:pt idx="60">
                  <c:v>23</c:v>
                </c:pt>
                <c:pt idx="61">
                  <c:v>4.2</c:v>
                </c:pt>
                <c:pt idx="62">
                  <c:v>8.2000000000000011</c:v>
                </c:pt>
                <c:pt idx="63">
                  <c:v>19.899999999999999</c:v>
                </c:pt>
                <c:pt idx="64">
                  <c:v>38.6</c:v>
                </c:pt>
                <c:pt idx="65">
                  <c:v>10.5</c:v>
                </c:pt>
                <c:pt idx="66">
                  <c:v>11.2</c:v>
                </c:pt>
                <c:pt idx="67">
                  <c:v>8.43</c:v>
                </c:pt>
                <c:pt idx="68">
                  <c:v>9.3000000000000007</c:v>
                </c:pt>
                <c:pt idx="69">
                  <c:v>10</c:v>
                </c:pt>
                <c:pt idx="70">
                  <c:v>2.84</c:v>
                </c:pt>
                <c:pt idx="71">
                  <c:v>17</c:v>
                </c:pt>
                <c:pt idx="72">
                  <c:v>10.5</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ser>
          <c:idx val="2"/>
          <c:order val="4"/>
          <c:tx>
            <c:v>Helio Directed</c:v>
          </c:tx>
          <c:spPr>
            <a:ln w="28575">
              <a:noFill/>
            </a:ln>
          </c:spPr>
          <c:marker>
            <c:symbol val="circle"/>
            <c:size val="7"/>
            <c:spPr>
              <a:solidFill>
                <a:srgbClr val="FFC000"/>
              </a:solidFill>
              <a:ln>
                <a:solidFill>
                  <a:srgbClr val="FFC000"/>
                </a:solidFill>
              </a:ln>
            </c:spPr>
          </c:marker>
          <c:xVal>
            <c:numRef>
              <c:f>'Mass vs Power'!$S$4:$S$105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13.5</c:v>
                </c:pt>
                <c:pt idx="90">
                  <c:v>0</c:v>
                </c:pt>
                <c:pt idx="91">
                  <c:v>0</c:v>
                </c:pt>
                <c:pt idx="92">
                  <c:v>0</c:v>
                </c:pt>
                <c:pt idx="93">
                  <c:v>0</c:v>
                </c:pt>
                <c:pt idx="94">
                  <c:v>0</c:v>
                </c:pt>
                <c:pt idx="95">
                  <c:v>0</c:v>
                </c:pt>
                <c:pt idx="96">
                  <c:v>5.8</c:v>
                </c:pt>
                <c:pt idx="97">
                  <c:v>5.5839999999999996</c:v>
                </c:pt>
                <c:pt idx="98">
                  <c:v>6.7</c:v>
                </c:pt>
                <c:pt idx="99">
                  <c:v>7.4</c:v>
                </c:pt>
                <c:pt idx="100">
                  <c:v>0</c:v>
                </c:pt>
                <c:pt idx="101">
                  <c:v>0</c:v>
                </c:pt>
              </c:numCache>
            </c:numRef>
          </c:xVal>
          <c:yVal>
            <c:numRef>
              <c:f>'Mass vs Power'!$T$4:$T$105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12</c:v>
                </c:pt>
                <c:pt idx="90">
                  <c:v>0</c:v>
                </c:pt>
                <c:pt idx="91">
                  <c:v>0</c:v>
                </c:pt>
                <c:pt idx="92">
                  <c:v>0</c:v>
                </c:pt>
                <c:pt idx="93">
                  <c:v>0</c:v>
                </c:pt>
                <c:pt idx="94">
                  <c:v>0</c:v>
                </c:pt>
                <c:pt idx="95">
                  <c:v>0</c:v>
                </c:pt>
                <c:pt idx="96">
                  <c:v>11.5</c:v>
                </c:pt>
                <c:pt idx="97">
                  <c:v>4.8</c:v>
                </c:pt>
                <c:pt idx="98">
                  <c:v>5.5</c:v>
                </c:pt>
                <c:pt idx="99">
                  <c:v>10</c:v>
                </c:pt>
                <c:pt idx="100">
                  <c:v>0</c:v>
                </c:pt>
                <c:pt idx="101">
                  <c:v>0</c:v>
                </c:pt>
              </c:numCache>
            </c:numRef>
          </c:yVal>
          <c:smooth val="0"/>
        </c:ser>
        <c:ser>
          <c:idx val="6"/>
          <c:order val="5"/>
          <c:tx>
            <c:v>Helio Competed</c:v>
          </c:tx>
          <c:spPr>
            <a:ln w="28575">
              <a:noFill/>
            </a:ln>
          </c:spPr>
          <c:marker>
            <c:symbol val="circle"/>
            <c:size val="7"/>
            <c:spPr>
              <a:noFill/>
              <a:ln>
                <a:solidFill>
                  <a:srgbClr val="FFC000"/>
                </a:solidFill>
              </a:ln>
            </c:spPr>
          </c:marker>
          <c:xVal>
            <c:numRef>
              <c:f>'Mass vs Power'!$AA$4:$AA$105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12.2</c:v>
                </c:pt>
                <c:pt idx="93">
                  <c:v>0</c:v>
                </c:pt>
                <c:pt idx="94">
                  <c:v>0</c:v>
                </c:pt>
                <c:pt idx="95">
                  <c:v>0</c:v>
                </c:pt>
                <c:pt idx="96">
                  <c:v>0</c:v>
                </c:pt>
                <c:pt idx="97">
                  <c:v>0</c:v>
                </c:pt>
                <c:pt idx="98">
                  <c:v>0</c:v>
                </c:pt>
                <c:pt idx="99">
                  <c:v>0</c:v>
                </c:pt>
                <c:pt idx="100">
                  <c:v>0</c:v>
                </c:pt>
                <c:pt idx="101">
                  <c:v>2.6</c:v>
                </c:pt>
              </c:numCache>
            </c:numRef>
          </c:xVal>
          <c:yVal>
            <c:numRef>
              <c:f>'Mass vs Power'!$AB$4:$AB$105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0.55000000000000004</c:v>
                </c:pt>
                <c:pt idx="89">
                  <c:v>0</c:v>
                </c:pt>
                <c:pt idx="90">
                  <c:v>0</c:v>
                </c:pt>
                <c:pt idx="91">
                  <c:v>0</c:v>
                </c:pt>
                <c:pt idx="92">
                  <c:v>2.9279999999999999</c:v>
                </c:pt>
                <c:pt idx="93">
                  <c:v>0</c:v>
                </c:pt>
                <c:pt idx="94">
                  <c:v>0</c:v>
                </c:pt>
                <c:pt idx="95">
                  <c:v>0</c:v>
                </c:pt>
                <c:pt idx="96">
                  <c:v>0</c:v>
                </c:pt>
                <c:pt idx="97">
                  <c:v>0</c:v>
                </c:pt>
                <c:pt idx="98">
                  <c:v>0</c:v>
                </c:pt>
                <c:pt idx="99">
                  <c:v>0</c:v>
                </c:pt>
                <c:pt idx="100">
                  <c:v>0</c:v>
                </c:pt>
                <c:pt idx="101">
                  <c:v>2.4</c:v>
                </c:pt>
              </c:numCache>
            </c:numRef>
          </c:yVal>
          <c:smooth val="0"/>
        </c:ser>
        <c:ser>
          <c:idx val="3"/>
          <c:order val="6"/>
          <c:tx>
            <c:v>Astro Directed</c:v>
          </c:tx>
          <c:spPr>
            <a:ln w="28575">
              <a:noFill/>
            </a:ln>
          </c:spPr>
          <c:marker>
            <c:symbol val="triangle"/>
            <c:size val="7"/>
            <c:spPr>
              <a:solidFill>
                <a:srgbClr val="7030A0"/>
              </a:solidFill>
              <a:ln>
                <a:solidFill>
                  <a:srgbClr val="7030A0"/>
                </a:solidFill>
              </a:ln>
            </c:spPr>
          </c:marker>
          <c:xVal>
            <c:numRef>
              <c:f>'Mass vs Power'!$U$4:$U$105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108.2</c:v>
                </c:pt>
                <c:pt idx="17">
                  <c:v>8.2299999999999986</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292</c:v>
                </c:pt>
                <c:pt idx="37">
                  <c:v>281.2</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273</c:v>
                </c:pt>
                <c:pt idx="84">
                  <c:v>373.6</c:v>
                </c:pt>
                <c:pt idx="85">
                  <c:v>29.064</c:v>
                </c:pt>
                <c:pt idx="86">
                  <c:v>39.5</c:v>
                </c:pt>
                <c:pt idx="87">
                  <c:v>33.336000000000013</c:v>
                </c:pt>
                <c:pt idx="88">
                  <c:v>0</c:v>
                </c:pt>
                <c:pt idx="89">
                  <c:v>0</c:v>
                </c:pt>
                <c:pt idx="90">
                  <c:v>0</c:v>
                </c:pt>
                <c:pt idx="91">
                  <c:v>0</c:v>
                </c:pt>
                <c:pt idx="92">
                  <c:v>0</c:v>
                </c:pt>
                <c:pt idx="93">
                  <c:v>341.3</c:v>
                </c:pt>
                <c:pt idx="94">
                  <c:v>0</c:v>
                </c:pt>
                <c:pt idx="95">
                  <c:v>0</c:v>
                </c:pt>
                <c:pt idx="96">
                  <c:v>0</c:v>
                </c:pt>
                <c:pt idx="97">
                  <c:v>0</c:v>
                </c:pt>
                <c:pt idx="98">
                  <c:v>0</c:v>
                </c:pt>
                <c:pt idx="99">
                  <c:v>0</c:v>
                </c:pt>
                <c:pt idx="100">
                  <c:v>0</c:v>
                </c:pt>
                <c:pt idx="101">
                  <c:v>0</c:v>
                </c:pt>
              </c:numCache>
            </c:numRef>
          </c:xVal>
          <c:yVal>
            <c:numRef>
              <c:f>'Mass vs Power'!$V$4:$V$105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155</c:v>
                </c:pt>
                <c:pt idx="17">
                  <c:v>22</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190</c:v>
                </c:pt>
                <c:pt idx="37">
                  <c:v>190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150</c:v>
                </c:pt>
                <c:pt idx="84">
                  <c:v>250</c:v>
                </c:pt>
                <c:pt idx="85">
                  <c:v>56</c:v>
                </c:pt>
                <c:pt idx="86">
                  <c:v>69.599999999999994</c:v>
                </c:pt>
                <c:pt idx="87">
                  <c:v>56</c:v>
                </c:pt>
                <c:pt idx="88">
                  <c:v>0</c:v>
                </c:pt>
                <c:pt idx="89">
                  <c:v>0</c:v>
                </c:pt>
                <c:pt idx="90">
                  <c:v>0</c:v>
                </c:pt>
                <c:pt idx="91">
                  <c:v>0</c:v>
                </c:pt>
                <c:pt idx="92">
                  <c:v>0</c:v>
                </c:pt>
                <c:pt idx="93">
                  <c:v>249.2</c:v>
                </c:pt>
                <c:pt idx="94">
                  <c:v>0</c:v>
                </c:pt>
                <c:pt idx="95">
                  <c:v>0</c:v>
                </c:pt>
                <c:pt idx="96">
                  <c:v>0</c:v>
                </c:pt>
                <c:pt idx="97">
                  <c:v>0</c:v>
                </c:pt>
                <c:pt idx="98">
                  <c:v>0</c:v>
                </c:pt>
                <c:pt idx="99">
                  <c:v>0</c:v>
                </c:pt>
                <c:pt idx="100">
                  <c:v>0</c:v>
                </c:pt>
                <c:pt idx="101">
                  <c:v>0</c:v>
                </c:pt>
              </c:numCache>
            </c:numRef>
          </c:yVal>
          <c:smooth val="0"/>
        </c:ser>
        <c:ser>
          <c:idx val="7"/>
          <c:order val="7"/>
          <c:tx>
            <c:v>Astro Competed</c:v>
          </c:tx>
          <c:spPr>
            <a:ln w="28575">
              <a:noFill/>
            </a:ln>
          </c:spPr>
          <c:marker>
            <c:symbol val="triangle"/>
            <c:size val="7"/>
            <c:spPr>
              <a:noFill/>
              <a:ln>
                <a:solidFill>
                  <a:srgbClr val="7030A0"/>
                </a:solidFill>
              </a:ln>
            </c:spPr>
          </c:marker>
          <c:xVal>
            <c:numRef>
              <c:f>'Mass vs Power'!$AC$4:$AC$5</c:f>
              <c:numCache>
                <c:formatCode>General</c:formatCode>
                <c:ptCount val="2"/>
                <c:pt idx="0">
                  <c:v>0</c:v>
                </c:pt>
                <c:pt idx="1">
                  <c:v>0</c:v>
                </c:pt>
              </c:numCache>
            </c:numRef>
          </c:xVal>
          <c:yVal>
            <c:numRef>
              <c:f>'Mass vs Power'!$AD$4:$AD$105</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191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0"/>
        </c:ser>
        <c:dLbls>
          <c:showLegendKey val="0"/>
          <c:showVal val="0"/>
          <c:showCatName val="0"/>
          <c:showSerName val="0"/>
          <c:showPercent val="0"/>
          <c:showBubbleSize val="0"/>
        </c:dLbls>
        <c:axId val="273949240"/>
        <c:axId val="273212416"/>
      </c:scatterChart>
      <c:valAx>
        <c:axId val="273949240"/>
        <c:scaling>
          <c:logBase val="10"/>
          <c:orientation val="minMax"/>
          <c:max val="1000"/>
          <c:min val="0.1"/>
        </c:scaling>
        <c:delete val="0"/>
        <c:axPos val="b"/>
        <c:majorGridlines/>
        <c:minorGridlines/>
        <c:title>
          <c:tx>
            <c:rich>
              <a:bodyPr/>
              <a:lstStyle/>
              <a:p>
                <a:pPr>
                  <a:defRPr/>
                </a:pPr>
                <a:r>
                  <a:rPr lang="en-US"/>
                  <a:t>Instrument Mass (kg)</a:t>
                </a:r>
              </a:p>
            </c:rich>
          </c:tx>
          <c:overlay val="0"/>
        </c:title>
        <c:numFmt formatCode="General" sourceLinked="1"/>
        <c:majorTickMark val="out"/>
        <c:minorTickMark val="none"/>
        <c:tickLblPos val="nextTo"/>
        <c:crossAx val="273212416"/>
        <c:crossesAt val="0.1"/>
        <c:crossBetween val="midCat"/>
      </c:valAx>
      <c:valAx>
        <c:axId val="273212416"/>
        <c:scaling>
          <c:logBase val="10"/>
          <c:orientation val="minMax"/>
          <c:min val="0.1"/>
        </c:scaling>
        <c:delete val="0"/>
        <c:axPos val="l"/>
        <c:majorGridlines/>
        <c:minorGridlines/>
        <c:title>
          <c:tx>
            <c:rich>
              <a:bodyPr rot="-5400000" vert="horz"/>
              <a:lstStyle/>
              <a:p>
                <a:pPr>
                  <a:defRPr/>
                </a:pPr>
                <a:r>
                  <a:rPr lang="en-US"/>
                  <a:t>Total Instrument Power (W)</a:t>
                </a:r>
              </a:p>
            </c:rich>
          </c:tx>
          <c:overlay val="0"/>
        </c:title>
        <c:numFmt formatCode="#,##0" sourceLinked="0"/>
        <c:majorTickMark val="out"/>
        <c:minorTickMark val="none"/>
        <c:tickLblPos val="nextTo"/>
        <c:crossAx val="273949240"/>
        <c:crossesAt val="0.1"/>
        <c:crossBetween val="midCat"/>
      </c:valAx>
    </c:plotArea>
    <c:legend>
      <c:legendPos val="r"/>
      <c:overlay val="0"/>
    </c:legend>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NICM!$CD$1</c:f>
              <c:strCache>
                <c:ptCount val="1"/>
                <c:pt idx="0">
                  <c:v>TOTAL Data Rate (kbps)</c:v>
                </c:pt>
              </c:strCache>
            </c:strRef>
          </c:tx>
          <c:spPr>
            <a:ln w="28575">
              <a:noFill/>
            </a:ln>
          </c:spPr>
          <c:marker>
            <c:spPr>
              <a:noFill/>
            </c:spPr>
          </c:marker>
          <c:trendline>
            <c:spPr>
              <a:ln w="22225"/>
            </c:spPr>
            <c:trendlineType val="linear"/>
            <c:dispRSqr val="0"/>
            <c:dispEq val="0"/>
          </c:trendline>
          <c:xVal>
            <c:numRef>
              <c:f>NICM!$G$2:$G$300</c:f>
              <c:numCache>
                <c:formatCode>mmm\-yy</c:formatCode>
                <c:ptCount val="299"/>
                <c:pt idx="0">
                  <c:v>36514</c:v>
                </c:pt>
                <c:pt idx="1">
                  <c:v>35278</c:v>
                </c:pt>
                <c:pt idx="2">
                  <c:v>37591</c:v>
                </c:pt>
                <c:pt idx="3">
                  <c:v>37377</c:v>
                </c:pt>
                <c:pt idx="4">
                  <c:v>37377</c:v>
                </c:pt>
                <c:pt idx="5">
                  <c:v>38169</c:v>
                </c:pt>
                <c:pt idx="6">
                  <c:v>38169</c:v>
                </c:pt>
                <c:pt idx="7">
                  <c:v>38169</c:v>
                </c:pt>
                <c:pt idx="8">
                  <c:v>35718</c:v>
                </c:pt>
                <c:pt idx="9">
                  <c:v>35718</c:v>
                </c:pt>
                <c:pt idx="10">
                  <c:v>35718</c:v>
                </c:pt>
                <c:pt idx="11">
                  <c:v>35718</c:v>
                </c:pt>
                <c:pt idx="12">
                  <c:v>35718</c:v>
                </c:pt>
                <c:pt idx="13">
                  <c:v>35718</c:v>
                </c:pt>
                <c:pt idx="14">
                  <c:v>35718</c:v>
                </c:pt>
                <c:pt idx="15">
                  <c:v>35718</c:v>
                </c:pt>
                <c:pt idx="16">
                  <c:v>36364</c:v>
                </c:pt>
                <c:pt idx="17">
                  <c:v>39546</c:v>
                </c:pt>
                <c:pt idx="18">
                  <c:v>39295</c:v>
                </c:pt>
                <c:pt idx="19">
                  <c:v>38364</c:v>
                </c:pt>
                <c:pt idx="20">
                  <c:v>38364</c:v>
                </c:pt>
                <c:pt idx="21">
                  <c:v>38364</c:v>
                </c:pt>
                <c:pt idx="22">
                  <c:v>32295</c:v>
                </c:pt>
                <c:pt idx="23">
                  <c:v>35247</c:v>
                </c:pt>
                <c:pt idx="24">
                  <c:v>37712</c:v>
                </c:pt>
                <c:pt idx="25">
                  <c:v>32799</c:v>
                </c:pt>
                <c:pt idx="26">
                  <c:v>32799</c:v>
                </c:pt>
                <c:pt idx="27">
                  <c:v>32799</c:v>
                </c:pt>
                <c:pt idx="28">
                  <c:v>32799</c:v>
                </c:pt>
                <c:pt idx="29">
                  <c:v>32799</c:v>
                </c:pt>
                <c:pt idx="30">
                  <c:v>32799</c:v>
                </c:pt>
                <c:pt idx="31">
                  <c:v>32799</c:v>
                </c:pt>
                <c:pt idx="32">
                  <c:v>35718</c:v>
                </c:pt>
                <c:pt idx="33">
                  <c:v>35827</c:v>
                </c:pt>
                <c:pt idx="34">
                  <c:v>35827</c:v>
                </c:pt>
                <c:pt idx="35">
                  <c:v>33756</c:v>
                </c:pt>
                <c:pt idx="36">
                  <c:v>32987</c:v>
                </c:pt>
                <c:pt idx="37">
                  <c:v>34304</c:v>
                </c:pt>
                <c:pt idx="38">
                  <c:v>37530</c:v>
                </c:pt>
                <c:pt idx="39">
                  <c:v>37226</c:v>
                </c:pt>
                <c:pt idx="40">
                  <c:v>39965</c:v>
                </c:pt>
                <c:pt idx="41">
                  <c:v>39752</c:v>
                </c:pt>
                <c:pt idx="42">
                  <c:v>32629</c:v>
                </c:pt>
                <c:pt idx="43">
                  <c:v>37773</c:v>
                </c:pt>
                <c:pt idx="44">
                  <c:v>35370</c:v>
                </c:pt>
                <c:pt idx="45">
                  <c:v>33872</c:v>
                </c:pt>
                <c:pt idx="46">
                  <c:v>33872</c:v>
                </c:pt>
                <c:pt idx="47">
                  <c:v>33872</c:v>
                </c:pt>
                <c:pt idx="48">
                  <c:v>33872</c:v>
                </c:pt>
                <c:pt idx="49">
                  <c:v>33872</c:v>
                </c:pt>
                <c:pt idx="50">
                  <c:v>36988</c:v>
                </c:pt>
                <c:pt idx="51">
                  <c:v>36988</c:v>
                </c:pt>
                <c:pt idx="52">
                  <c:v>36988</c:v>
                </c:pt>
                <c:pt idx="53">
                  <c:v>38576</c:v>
                </c:pt>
                <c:pt idx="54">
                  <c:v>38576</c:v>
                </c:pt>
                <c:pt idx="55">
                  <c:v>38576</c:v>
                </c:pt>
                <c:pt idx="56">
                  <c:v>38576</c:v>
                </c:pt>
                <c:pt idx="57">
                  <c:v>38576</c:v>
                </c:pt>
                <c:pt idx="58">
                  <c:v>38576</c:v>
                </c:pt>
                <c:pt idx="59">
                  <c:v>38203</c:v>
                </c:pt>
                <c:pt idx="60">
                  <c:v>38200</c:v>
                </c:pt>
                <c:pt idx="61">
                  <c:v>38200</c:v>
                </c:pt>
                <c:pt idx="62">
                  <c:v>38200</c:v>
                </c:pt>
                <c:pt idx="63">
                  <c:v>38200</c:v>
                </c:pt>
                <c:pt idx="64">
                  <c:v>38200</c:v>
                </c:pt>
                <c:pt idx="65">
                  <c:v>38200</c:v>
                </c:pt>
                <c:pt idx="66">
                  <c:v>35096</c:v>
                </c:pt>
                <c:pt idx="67">
                  <c:v>35096</c:v>
                </c:pt>
                <c:pt idx="68">
                  <c:v>35096</c:v>
                </c:pt>
                <c:pt idx="69">
                  <c:v>38723</c:v>
                </c:pt>
                <c:pt idx="70">
                  <c:v>38736</c:v>
                </c:pt>
                <c:pt idx="71">
                  <c:v>36069</c:v>
                </c:pt>
                <c:pt idx="72">
                  <c:v>36092</c:v>
                </c:pt>
                <c:pt idx="73">
                  <c:v>39614</c:v>
                </c:pt>
                <c:pt idx="74">
                  <c:v>35096</c:v>
                </c:pt>
                <c:pt idx="75">
                  <c:v>35096</c:v>
                </c:pt>
                <c:pt idx="76">
                  <c:v>35096</c:v>
                </c:pt>
                <c:pt idx="77">
                  <c:v>35096</c:v>
                </c:pt>
                <c:pt idx="78">
                  <c:v>35096</c:v>
                </c:pt>
                <c:pt idx="79">
                  <c:v>35096</c:v>
                </c:pt>
                <c:pt idx="80">
                  <c:v>35096</c:v>
                </c:pt>
                <c:pt idx="81">
                  <c:v>35096</c:v>
                </c:pt>
                <c:pt idx="82">
                  <c:v>38047</c:v>
                </c:pt>
                <c:pt idx="83">
                  <c:v>35462</c:v>
                </c:pt>
                <c:pt idx="84">
                  <c:v>35462</c:v>
                </c:pt>
                <c:pt idx="85">
                  <c:v>37858</c:v>
                </c:pt>
                <c:pt idx="86">
                  <c:v>37834</c:v>
                </c:pt>
                <c:pt idx="87">
                  <c:v>37858</c:v>
                </c:pt>
                <c:pt idx="88">
                  <c:v>38531</c:v>
                </c:pt>
                <c:pt idx="89">
                  <c:v>39015</c:v>
                </c:pt>
                <c:pt idx="90">
                  <c:v>36495</c:v>
                </c:pt>
                <c:pt idx="91">
                  <c:v>36512</c:v>
                </c:pt>
                <c:pt idx="92">
                  <c:v>38991</c:v>
                </c:pt>
                <c:pt idx="93">
                  <c:v>35431</c:v>
                </c:pt>
                <c:pt idx="94">
                  <c:v>33817</c:v>
                </c:pt>
                <c:pt idx="95">
                  <c:v>33817</c:v>
                </c:pt>
                <c:pt idx="96">
                  <c:v>33147</c:v>
                </c:pt>
                <c:pt idx="97">
                  <c:v>33147</c:v>
                </c:pt>
                <c:pt idx="98">
                  <c:v>33147</c:v>
                </c:pt>
                <c:pt idx="99">
                  <c:v>33147</c:v>
                </c:pt>
                <c:pt idx="100">
                  <c:v>33493</c:v>
                </c:pt>
                <c:pt idx="101">
                  <c:v>34639</c:v>
                </c:pt>
              </c:numCache>
            </c:numRef>
          </c:xVal>
          <c:yVal>
            <c:numRef>
              <c:f>NICM!$CD$2:$CD$300</c:f>
              <c:numCache>
                <c:formatCode>General</c:formatCode>
                <c:ptCount val="299"/>
                <c:pt idx="0">
                  <c:v>1.024</c:v>
                </c:pt>
                <c:pt idx="1">
                  <c:v>3.2</c:v>
                </c:pt>
                <c:pt idx="2">
                  <c:v>36</c:v>
                </c:pt>
                <c:pt idx="3">
                  <c:v>1420</c:v>
                </c:pt>
                <c:pt idx="4">
                  <c:v>3</c:v>
                </c:pt>
                <c:pt idx="5">
                  <c:v>100</c:v>
                </c:pt>
                <c:pt idx="6">
                  <c:v>4700</c:v>
                </c:pt>
                <c:pt idx="7">
                  <c:v>65</c:v>
                </c:pt>
                <c:pt idx="8">
                  <c:v>4</c:v>
                </c:pt>
                <c:pt idx="9">
                  <c:v>365</c:v>
                </c:pt>
                <c:pt idx="10">
                  <c:v>6</c:v>
                </c:pt>
                <c:pt idx="11">
                  <c:v>1.51</c:v>
                </c:pt>
                <c:pt idx="12">
                  <c:v>365.56799999999993</c:v>
                </c:pt>
                <c:pt idx="13">
                  <c:v>7</c:v>
                </c:pt>
                <c:pt idx="14">
                  <c:v>0.98799999999999999</c:v>
                </c:pt>
                <c:pt idx="15">
                  <c:v>182.2</c:v>
                </c:pt>
                <c:pt idx="16">
                  <c:v>28000</c:v>
                </c:pt>
                <c:pt idx="17">
                  <c:v>8400</c:v>
                </c:pt>
                <c:pt idx="18">
                  <c:v>3.1</c:v>
                </c:pt>
                <c:pt idx="19">
                  <c:v>175</c:v>
                </c:pt>
                <c:pt idx="20">
                  <c:v>175</c:v>
                </c:pt>
                <c:pt idx="21">
                  <c:v>175</c:v>
                </c:pt>
                <c:pt idx="22">
                  <c:v>0</c:v>
                </c:pt>
                <c:pt idx="23">
                  <c:v>0.8</c:v>
                </c:pt>
                <c:pt idx="24">
                  <c:v>25000</c:v>
                </c:pt>
                <c:pt idx="25">
                  <c:v>0.91200000000000003</c:v>
                </c:pt>
                <c:pt idx="26">
                  <c:v>0.24</c:v>
                </c:pt>
                <c:pt idx="27">
                  <c:v>11.52</c:v>
                </c:pt>
                <c:pt idx="28">
                  <c:v>0.24</c:v>
                </c:pt>
                <c:pt idx="29">
                  <c:v>0.216</c:v>
                </c:pt>
                <c:pt idx="30">
                  <c:v>0.24</c:v>
                </c:pt>
                <c:pt idx="31">
                  <c:v>806.4</c:v>
                </c:pt>
                <c:pt idx="32">
                  <c:v>403.2</c:v>
                </c:pt>
                <c:pt idx="33">
                  <c:v>1.55</c:v>
                </c:pt>
                <c:pt idx="34">
                  <c:v>0.16</c:v>
                </c:pt>
                <c:pt idx="35">
                  <c:v>4.6079999999999757</c:v>
                </c:pt>
                <c:pt idx="36">
                  <c:v>1000</c:v>
                </c:pt>
                <c:pt idx="37">
                  <c:v>1000</c:v>
                </c:pt>
                <c:pt idx="38">
                  <c:v>550</c:v>
                </c:pt>
                <c:pt idx="39">
                  <c:v>2.5</c:v>
                </c:pt>
                <c:pt idx="40">
                  <c:v>28</c:v>
                </c:pt>
                <c:pt idx="41">
                  <c:v>40.5</c:v>
                </c:pt>
                <c:pt idx="42">
                  <c:v>806.4</c:v>
                </c:pt>
                <c:pt idx="43">
                  <c:v>45</c:v>
                </c:pt>
                <c:pt idx="44">
                  <c:v>0.32400000000000201</c:v>
                </c:pt>
                <c:pt idx="45">
                  <c:v>0.66500000000000403</c:v>
                </c:pt>
                <c:pt idx="46">
                  <c:v>30.648</c:v>
                </c:pt>
                <c:pt idx="47">
                  <c:v>0.61800000000000299</c:v>
                </c:pt>
                <c:pt idx="48">
                  <c:v>0.154</c:v>
                </c:pt>
                <c:pt idx="49">
                  <c:v>1.75</c:v>
                </c:pt>
                <c:pt idx="50">
                  <c:v>2.44</c:v>
                </c:pt>
                <c:pt idx="51">
                  <c:v>9.4562647754137197E-2</c:v>
                </c:pt>
                <c:pt idx="52">
                  <c:v>6200</c:v>
                </c:pt>
                <c:pt idx="53">
                  <c:v>1200</c:v>
                </c:pt>
                <c:pt idx="54">
                  <c:v>20000</c:v>
                </c:pt>
                <c:pt idx="55">
                  <c:v>2400</c:v>
                </c:pt>
                <c:pt idx="56">
                  <c:v>515</c:v>
                </c:pt>
                <c:pt idx="57">
                  <c:v>9.6</c:v>
                </c:pt>
                <c:pt idx="58">
                  <c:v>4.8</c:v>
                </c:pt>
                <c:pt idx="59">
                  <c:v>0.3</c:v>
                </c:pt>
                <c:pt idx="60">
                  <c:v>0.3</c:v>
                </c:pt>
                <c:pt idx="61">
                  <c:v>1.44</c:v>
                </c:pt>
                <c:pt idx="62">
                  <c:v>8.6999999999999994E-2</c:v>
                </c:pt>
                <c:pt idx="63">
                  <c:v>3000</c:v>
                </c:pt>
                <c:pt idx="65">
                  <c:v>8.3000000000000004E-2</c:v>
                </c:pt>
                <c:pt idx="67">
                  <c:v>1600</c:v>
                </c:pt>
                <c:pt idx="69">
                  <c:v>1300</c:v>
                </c:pt>
                <c:pt idx="70">
                  <c:v>0.28000000000000003</c:v>
                </c:pt>
                <c:pt idx="71">
                  <c:v>100</c:v>
                </c:pt>
                <c:pt idx="72">
                  <c:v>1.024</c:v>
                </c:pt>
                <c:pt idx="73">
                  <c:v>1.5</c:v>
                </c:pt>
                <c:pt idx="74">
                  <c:v>1.28</c:v>
                </c:pt>
                <c:pt idx="75">
                  <c:v>3.2</c:v>
                </c:pt>
                <c:pt idx="76">
                  <c:v>25</c:v>
                </c:pt>
                <c:pt idx="77">
                  <c:v>0.5</c:v>
                </c:pt>
                <c:pt idx="78">
                  <c:v>2.5</c:v>
                </c:pt>
                <c:pt idx="79">
                  <c:v>2.52</c:v>
                </c:pt>
                <c:pt idx="80">
                  <c:v>2.5</c:v>
                </c:pt>
                <c:pt idx="81">
                  <c:v>1.8</c:v>
                </c:pt>
                <c:pt idx="82">
                  <c:v>2.423</c:v>
                </c:pt>
                <c:pt idx="83">
                  <c:v>1000</c:v>
                </c:pt>
                <c:pt idx="84">
                  <c:v>1000</c:v>
                </c:pt>
                <c:pt idx="85">
                  <c:v>250</c:v>
                </c:pt>
                <c:pt idx="86">
                  <c:v>40</c:v>
                </c:pt>
                <c:pt idx="87">
                  <c:v>250</c:v>
                </c:pt>
                <c:pt idx="88">
                  <c:v>0.88</c:v>
                </c:pt>
                <c:pt idx="89">
                  <c:v>2.1</c:v>
                </c:pt>
                <c:pt idx="90">
                  <c:v>9000</c:v>
                </c:pt>
                <c:pt idx="91">
                  <c:v>10500</c:v>
                </c:pt>
                <c:pt idx="92">
                  <c:v>12.3</c:v>
                </c:pt>
                <c:pt idx="93">
                  <c:v>1000</c:v>
                </c:pt>
                <c:pt idx="94">
                  <c:v>256</c:v>
                </c:pt>
                <c:pt idx="95">
                  <c:v>16</c:v>
                </c:pt>
                <c:pt idx="96">
                  <c:v>0.16</c:v>
                </c:pt>
                <c:pt idx="97">
                  <c:v>8.8000000000000106E-2</c:v>
                </c:pt>
                <c:pt idx="98">
                  <c:v>0.16</c:v>
                </c:pt>
                <c:pt idx="99">
                  <c:v>0.23200000000000001</c:v>
                </c:pt>
                <c:pt idx="100">
                  <c:v>1.3</c:v>
                </c:pt>
                <c:pt idx="101">
                  <c:v>3</c:v>
                </c:pt>
              </c:numCache>
            </c:numRef>
          </c:yVal>
          <c:smooth val="0"/>
        </c:ser>
        <c:dLbls>
          <c:showLegendKey val="0"/>
          <c:showVal val="0"/>
          <c:showCatName val="0"/>
          <c:showSerName val="0"/>
          <c:showPercent val="0"/>
          <c:showBubbleSize val="0"/>
        </c:dLbls>
        <c:axId val="273213200"/>
        <c:axId val="273213592"/>
      </c:scatterChart>
      <c:valAx>
        <c:axId val="273213200"/>
        <c:scaling>
          <c:orientation val="minMax"/>
          <c:max val="40544"/>
          <c:min val="32874"/>
        </c:scaling>
        <c:delete val="0"/>
        <c:axPos val="b"/>
        <c:majorGridlines/>
        <c:numFmt formatCode="yyyy&quot;'s&quot;" sourceLinked="0"/>
        <c:majorTickMark val="out"/>
        <c:minorTickMark val="none"/>
        <c:tickLblPos val="nextTo"/>
        <c:crossAx val="273213592"/>
        <c:crosses val="autoZero"/>
        <c:crossBetween val="midCat"/>
        <c:majorUnit val="3660"/>
      </c:valAx>
      <c:valAx>
        <c:axId val="273213592"/>
        <c:scaling>
          <c:logBase val="10"/>
          <c:orientation val="minMax"/>
          <c:max val="10000"/>
          <c:min val="1"/>
        </c:scaling>
        <c:delete val="0"/>
        <c:axPos val="l"/>
        <c:majorGridlines/>
        <c:minorGridlines/>
        <c:title>
          <c:tx>
            <c:rich>
              <a:bodyPr rot="-5400000" vert="horz"/>
              <a:lstStyle/>
              <a:p>
                <a:pPr>
                  <a:defRPr/>
                </a:pPr>
                <a:r>
                  <a:rPr lang="en-US"/>
                  <a:t>Total Data Rate (Mbps)</a:t>
                </a:r>
              </a:p>
            </c:rich>
          </c:tx>
          <c:overlay val="0"/>
        </c:title>
        <c:numFmt formatCode="General" sourceLinked="1"/>
        <c:majorTickMark val="out"/>
        <c:minorTickMark val="none"/>
        <c:tickLblPos val="nextTo"/>
        <c:crossAx val="273213200"/>
        <c:crosses val="autoZero"/>
        <c:crossBetween val="midCat"/>
        <c:dispUnits>
          <c:builtInUnit val="thousands"/>
        </c:dispUnits>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0.19422</cdr:x>
      <cdr:y>0.41202</cdr:y>
    </cdr:from>
    <cdr:to>
      <cdr:x>0.60659</cdr:x>
      <cdr:y>0.71833</cdr:y>
    </cdr:to>
    <cdr:sp macro="" textlink="">
      <cdr:nvSpPr>
        <cdr:cNvPr id="2" name="Oval 1"/>
        <cdr:cNvSpPr/>
      </cdr:nvSpPr>
      <cdr:spPr>
        <a:xfrm xmlns:a="http://schemas.openxmlformats.org/drawingml/2006/main" rot="19329722">
          <a:off x="1154392" y="1318634"/>
          <a:ext cx="2450939" cy="98030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0.11965</cdr:x>
      <cdr:y>0.36167</cdr:y>
    </cdr:from>
    <cdr:to>
      <cdr:x>0.61799</cdr:x>
      <cdr:y>0.69123</cdr:y>
    </cdr:to>
    <cdr:sp macro="" textlink="">
      <cdr:nvSpPr>
        <cdr:cNvPr id="2" name="Oval 1"/>
        <cdr:cNvSpPr/>
      </cdr:nvSpPr>
      <cdr:spPr>
        <a:xfrm xmlns:a="http://schemas.openxmlformats.org/drawingml/2006/main" rot="19588404">
          <a:off x="711125" y="1157480"/>
          <a:ext cx="2961986" cy="105472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0.19422</cdr:x>
      <cdr:y>0.41202</cdr:y>
    </cdr:from>
    <cdr:to>
      <cdr:x>0.60659</cdr:x>
      <cdr:y>0.71833</cdr:y>
    </cdr:to>
    <cdr:sp macro="" textlink="">
      <cdr:nvSpPr>
        <cdr:cNvPr id="2" name="Oval 1"/>
        <cdr:cNvSpPr/>
      </cdr:nvSpPr>
      <cdr:spPr>
        <a:xfrm xmlns:a="http://schemas.openxmlformats.org/drawingml/2006/main" rot="19329722">
          <a:off x="1154392" y="1318634"/>
          <a:ext cx="2450939" cy="98030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0.11965</cdr:x>
      <cdr:y>0.36167</cdr:y>
    </cdr:from>
    <cdr:to>
      <cdr:x>0.61799</cdr:x>
      <cdr:y>0.69123</cdr:y>
    </cdr:to>
    <cdr:sp macro="" textlink="">
      <cdr:nvSpPr>
        <cdr:cNvPr id="2" name="Oval 1"/>
        <cdr:cNvSpPr/>
      </cdr:nvSpPr>
      <cdr:spPr>
        <a:xfrm xmlns:a="http://schemas.openxmlformats.org/drawingml/2006/main" rot="19588404">
          <a:off x="711125" y="1157480"/>
          <a:ext cx="2961986" cy="105472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P">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3FAC3-39C2-42F7-8CFD-939F9C3CB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31501</Words>
  <Characters>179562</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210642</CharactersWithSpaces>
  <SharedDoc>false</SharedDoc>
  <HLinks>
    <vt:vector size="6" baseType="variant">
      <vt:variant>
        <vt:i4>1441859</vt:i4>
      </vt:variant>
      <vt:variant>
        <vt:i4>117</vt:i4>
      </vt:variant>
      <vt:variant>
        <vt:i4>0</vt:i4>
      </vt:variant>
      <vt:variant>
        <vt:i4>5</vt:i4>
      </vt:variant>
      <vt:variant>
        <vt:lpwstr>http://nasascience.nasa.gov/earth-science/earth-science-data-centers/data-and-information-policy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2017-01-12T19:21:00Z</dcterms:created>
  <dcterms:modified xsi:type="dcterms:W3CDTF">2017-01-24T19:59:00Z</dcterms:modified>
</cp:coreProperties>
</file>